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692A8" w14:textId="77777777" w:rsidR="00EE4A9A" w:rsidRPr="00490588" w:rsidRDefault="00EE4A9A" w:rsidP="00EE4A9A">
      <w:pPr>
        <w:rPr>
          <w:rFonts w:ascii="Arial" w:hAnsi="Arial" w:cs="Arial"/>
          <w:sz w:val="20"/>
          <w:szCs w:val="20"/>
        </w:rPr>
      </w:pPr>
    </w:p>
    <w:p w14:paraId="1B238E9A" w14:textId="365249BA" w:rsidR="00BD1CF7" w:rsidRDefault="00BD1CF7" w:rsidP="00F67328">
      <w:pPr>
        <w:spacing w:after="160" w:line="259" w:lineRule="auto"/>
        <w:contextualSpacing/>
        <w:jc w:val="center"/>
        <w:rPr>
          <w:rFonts w:ascii="Arial" w:hAnsi="Arial" w:cs="Arial"/>
          <w:b/>
        </w:rPr>
      </w:pPr>
      <w:r>
        <w:rPr>
          <w:rFonts w:ascii="Arial" w:hAnsi="Arial" w:cs="Arial"/>
          <w:b/>
          <w:noProof/>
        </w:rPr>
        <w:drawing>
          <wp:inline distT="0" distB="0" distL="0" distR="0" wp14:anchorId="592EFBB8" wp14:editId="6097FE0B">
            <wp:extent cx="3276600" cy="87779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7199" cy="883314"/>
                    </a:xfrm>
                    <a:prstGeom prst="rect">
                      <a:avLst/>
                    </a:prstGeom>
                    <a:noFill/>
                    <a:ln>
                      <a:noFill/>
                    </a:ln>
                  </pic:spPr>
                </pic:pic>
              </a:graphicData>
            </a:graphic>
          </wp:inline>
        </w:drawing>
      </w:r>
    </w:p>
    <w:p w14:paraId="48555F2C" w14:textId="77777777" w:rsidR="00BD1CF7" w:rsidRDefault="00BD1CF7" w:rsidP="00F67328">
      <w:pPr>
        <w:spacing w:after="160" w:line="259" w:lineRule="auto"/>
        <w:contextualSpacing/>
        <w:jc w:val="center"/>
        <w:rPr>
          <w:rFonts w:ascii="Arial" w:hAnsi="Arial" w:cs="Arial"/>
          <w:b/>
        </w:rPr>
      </w:pPr>
    </w:p>
    <w:p w14:paraId="2CD5075B" w14:textId="3E2263A4" w:rsidR="00EE4A9A" w:rsidRDefault="00EE4A9A" w:rsidP="00F67328">
      <w:pPr>
        <w:spacing w:after="160" w:line="259" w:lineRule="auto"/>
        <w:contextualSpacing/>
        <w:jc w:val="center"/>
        <w:rPr>
          <w:rFonts w:ascii="Arial" w:hAnsi="Arial" w:cs="Arial"/>
          <w:b/>
        </w:rPr>
      </w:pPr>
      <w:r w:rsidRPr="003B1037">
        <w:rPr>
          <w:rFonts w:ascii="Arial" w:hAnsi="Arial" w:cs="Arial"/>
          <w:b/>
        </w:rPr>
        <w:t>Grupo GELL</w:t>
      </w:r>
      <w:r w:rsidR="00F67328">
        <w:rPr>
          <w:rFonts w:ascii="Arial" w:hAnsi="Arial" w:cs="Arial"/>
          <w:b/>
        </w:rPr>
        <w:t xml:space="preserve"> – Proyecto Linfoma de Hodgkin refractario/recaído R/R</w:t>
      </w:r>
    </w:p>
    <w:p w14:paraId="407A1559" w14:textId="77777777" w:rsidR="00F67328" w:rsidRDefault="00F67328" w:rsidP="00F67328">
      <w:pPr>
        <w:spacing w:after="160" w:line="259" w:lineRule="auto"/>
        <w:contextualSpacing/>
        <w:jc w:val="center"/>
        <w:rPr>
          <w:rFonts w:ascii="Arial" w:hAnsi="Arial" w:cs="Arial"/>
          <w:b/>
        </w:rPr>
      </w:pPr>
    </w:p>
    <w:p w14:paraId="0387FD1D" w14:textId="77777777" w:rsidR="00EE4A9A" w:rsidRPr="004662BE" w:rsidRDefault="00EE4A9A" w:rsidP="00EE4A9A">
      <w:pPr>
        <w:ind w:right="13"/>
        <w:jc w:val="both"/>
        <w:rPr>
          <w:rFonts w:ascii="Arial" w:hAnsi="Arial" w:cs="Arial"/>
          <w:b/>
          <w:bCs/>
        </w:rPr>
      </w:pPr>
      <w:r w:rsidRPr="004662BE">
        <w:rPr>
          <w:rFonts w:ascii="Arial" w:hAnsi="Arial" w:cs="Arial"/>
          <w:b/>
          <w:bCs/>
        </w:rPr>
        <w:t>Análisis de los desenlaces del tratamiento de rescate en pacientes con Linfoma de Hodgkin atendidos en Centros de Referencia Oncológicos en Latinoamérica 2010-2020</w:t>
      </w:r>
    </w:p>
    <w:p w14:paraId="1305E6DA" w14:textId="77777777" w:rsidR="00EE4A9A" w:rsidRDefault="00EE4A9A" w:rsidP="00EE4A9A">
      <w:pPr>
        <w:ind w:right="13"/>
        <w:jc w:val="both"/>
        <w:rPr>
          <w:rFonts w:ascii="Arial" w:hAnsi="Arial" w:cs="Arial"/>
          <w:sz w:val="20"/>
          <w:szCs w:val="20"/>
        </w:rPr>
      </w:pPr>
    </w:p>
    <w:p w14:paraId="6475FE34" w14:textId="77777777" w:rsidR="00EE4A9A" w:rsidRPr="00490588" w:rsidRDefault="00EE4A9A" w:rsidP="00EE4A9A">
      <w:pPr>
        <w:ind w:right="13"/>
        <w:jc w:val="both"/>
        <w:rPr>
          <w:rFonts w:ascii="Arial" w:hAnsi="Arial" w:cs="Arial"/>
          <w:b/>
          <w:sz w:val="20"/>
          <w:szCs w:val="20"/>
        </w:rPr>
      </w:pPr>
      <w:r w:rsidRPr="00490588">
        <w:rPr>
          <w:rFonts w:ascii="Arial" w:hAnsi="Arial" w:cs="Arial"/>
          <w:b/>
          <w:sz w:val="20"/>
          <w:szCs w:val="20"/>
        </w:rPr>
        <w:t>TÍTULO CORTO DEL PROYECTO</w:t>
      </w:r>
    </w:p>
    <w:p w14:paraId="1DA5F5E5" w14:textId="77777777" w:rsidR="00EE4A9A" w:rsidRPr="00490588" w:rsidRDefault="00EE4A9A" w:rsidP="00EE4A9A">
      <w:pPr>
        <w:ind w:right="13"/>
        <w:jc w:val="both"/>
        <w:rPr>
          <w:rFonts w:ascii="Arial" w:hAnsi="Arial" w:cs="Arial"/>
          <w:sz w:val="20"/>
          <w:szCs w:val="20"/>
        </w:rPr>
      </w:pPr>
    </w:p>
    <w:p w14:paraId="02D72657" w14:textId="41F9D0ED" w:rsidR="00EE4A9A" w:rsidRDefault="00EE4A9A" w:rsidP="00EE4A9A">
      <w:pPr>
        <w:ind w:right="13"/>
        <w:jc w:val="both"/>
        <w:rPr>
          <w:rFonts w:ascii="Arial" w:hAnsi="Arial" w:cs="Arial"/>
          <w:sz w:val="20"/>
          <w:szCs w:val="20"/>
        </w:rPr>
      </w:pPr>
      <w:r>
        <w:rPr>
          <w:rFonts w:ascii="Arial" w:hAnsi="Arial" w:cs="Arial"/>
          <w:sz w:val="20"/>
          <w:szCs w:val="20"/>
        </w:rPr>
        <w:t xml:space="preserve">Linfoma de Hodgkin recaído/refractario en Latinoamérica </w:t>
      </w:r>
    </w:p>
    <w:p w14:paraId="27D0E147" w14:textId="135F17B8" w:rsidR="00BD1CF7" w:rsidRDefault="00BD1CF7" w:rsidP="00EE4A9A">
      <w:pPr>
        <w:ind w:right="13"/>
        <w:jc w:val="both"/>
        <w:rPr>
          <w:rFonts w:ascii="Arial" w:hAnsi="Arial" w:cs="Arial"/>
          <w:sz w:val="20"/>
          <w:szCs w:val="20"/>
        </w:rPr>
      </w:pPr>
    </w:p>
    <w:p w14:paraId="421DA6CA" w14:textId="6414F4E1" w:rsidR="00BD1CF7" w:rsidRDefault="00BD1CF7" w:rsidP="00EE4A9A">
      <w:pPr>
        <w:ind w:right="13"/>
        <w:jc w:val="both"/>
        <w:rPr>
          <w:rFonts w:ascii="Arial" w:hAnsi="Arial" w:cs="Arial"/>
          <w:sz w:val="20"/>
          <w:szCs w:val="20"/>
        </w:rPr>
      </w:pPr>
      <w:r>
        <w:rPr>
          <w:rFonts w:ascii="Arial" w:hAnsi="Arial" w:cs="Arial"/>
          <w:sz w:val="20"/>
          <w:szCs w:val="20"/>
        </w:rPr>
        <w:t>Alana von Glasenapp - Paraguay</w:t>
      </w:r>
    </w:p>
    <w:p w14:paraId="2B693475" w14:textId="74AA6410" w:rsidR="00BD1CF7" w:rsidRPr="00490588" w:rsidRDefault="00BD1CF7" w:rsidP="00EE4A9A">
      <w:pPr>
        <w:ind w:right="13"/>
        <w:jc w:val="both"/>
        <w:rPr>
          <w:rFonts w:ascii="Arial" w:hAnsi="Arial" w:cs="Arial"/>
          <w:sz w:val="20"/>
          <w:szCs w:val="20"/>
        </w:rPr>
      </w:pPr>
      <w:r>
        <w:rPr>
          <w:rFonts w:ascii="Arial" w:hAnsi="Arial" w:cs="Arial"/>
          <w:sz w:val="20"/>
          <w:szCs w:val="20"/>
        </w:rPr>
        <w:t xml:space="preserve">Humberto Martínez Cordero – Colombia </w:t>
      </w:r>
    </w:p>
    <w:p w14:paraId="12E68A69" w14:textId="77777777" w:rsidR="00EE4A9A" w:rsidRPr="00490588" w:rsidRDefault="00EE4A9A" w:rsidP="00EE4A9A">
      <w:pPr>
        <w:ind w:right="13"/>
        <w:jc w:val="both"/>
        <w:rPr>
          <w:rFonts w:ascii="Arial" w:hAnsi="Arial" w:cs="Arial"/>
          <w:b/>
          <w:sz w:val="20"/>
          <w:szCs w:val="20"/>
        </w:rPr>
      </w:pPr>
    </w:p>
    <w:p w14:paraId="5569017B" w14:textId="77777777" w:rsidR="00EE4A9A" w:rsidRPr="00126B1C" w:rsidRDefault="00EE4A9A" w:rsidP="00EE4A9A">
      <w:pPr>
        <w:ind w:right="13"/>
        <w:jc w:val="both"/>
        <w:outlineLvl w:val="0"/>
        <w:rPr>
          <w:rFonts w:ascii="Arial" w:hAnsi="Arial" w:cs="Arial"/>
          <w:b/>
          <w:sz w:val="20"/>
          <w:szCs w:val="20"/>
        </w:rPr>
      </w:pPr>
    </w:p>
    <w:p w14:paraId="386AB7F5" w14:textId="77777777" w:rsidR="00EE4A9A" w:rsidRPr="00126B1C" w:rsidRDefault="00EE4A9A" w:rsidP="00EE4A9A">
      <w:pPr>
        <w:pStyle w:val="Default"/>
        <w:rPr>
          <w:b/>
          <w:bCs/>
          <w:sz w:val="20"/>
          <w:szCs w:val="20"/>
        </w:rPr>
      </w:pPr>
      <w:r w:rsidRPr="00126B1C">
        <w:rPr>
          <w:b/>
          <w:bCs/>
          <w:sz w:val="20"/>
          <w:szCs w:val="20"/>
        </w:rPr>
        <w:t xml:space="preserve">Problema </w:t>
      </w:r>
    </w:p>
    <w:p w14:paraId="711FF789" w14:textId="77777777" w:rsidR="00EE4A9A" w:rsidRPr="00126B1C" w:rsidRDefault="00EE4A9A" w:rsidP="00EE4A9A">
      <w:pPr>
        <w:pStyle w:val="Default"/>
        <w:rPr>
          <w:sz w:val="20"/>
          <w:szCs w:val="20"/>
        </w:rPr>
      </w:pPr>
    </w:p>
    <w:p w14:paraId="7268322F" w14:textId="2D57ABA9" w:rsidR="00EE4A9A" w:rsidRPr="00126B1C" w:rsidRDefault="00EE4A9A" w:rsidP="00EE4A9A">
      <w:pPr>
        <w:pStyle w:val="Prrafodelista"/>
        <w:ind w:left="0" w:right="13"/>
        <w:jc w:val="both"/>
        <w:rPr>
          <w:rFonts w:ascii="Arial" w:hAnsi="Arial" w:cs="Arial"/>
          <w:sz w:val="20"/>
          <w:szCs w:val="20"/>
        </w:rPr>
      </w:pPr>
      <w:r w:rsidRPr="00126B1C">
        <w:rPr>
          <w:rFonts w:ascii="Arial" w:hAnsi="Arial" w:cs="Arial"/>
          <w:sz w:val="20"/>
          <w:szCs w:val="20"/>
        </w:rPr>
        <w:t>El Linfoma de Hodgkin corresponde al linfoma más común que afecta a la población joven, representando el 0,5% de todos los casos de cáncer. Se considera una entidad potencialmente curable, con una supervivencia global de hasta el 80% a cinco años alcanzada con la terapia estándar de primera línea. Sin embargo, pacientes con enfermedad avanzada puede tener tasas de recaídas entre el 30-40% y cerca de un 10-15% no logran remisión con la terapia de primera línea. Actualmente no se cuenta con evidencia suficiente que respalde cuál esquema de inducción es el más eficaz en el contexto de refractariedad o recaída</w:t>
      </w:r>
      <w:r w:rsidR="00F67328">
        <w:rPr>
          <w:rFonts w:ascii="Arial" w:hAnsi="Arial" w:cs="Arial"/>
          <w:sz w:val="20"/>
          <w:szCs w:val="20"/>
        </w:rPr>
        <w:t xml:space="preserve"> debido a la falta de estudios comparativos cabeza a cabeza sin embargo se conoce que </w:t>
      </w:r>
      <w:r w:rsidRPr="00126B1C">
        <w:rPr>
          <w:rFonts w:ascii="Arial" w:hAnsi="Arial" w:cs="Arial"/>
          <w:sz w:val="20"/>
          <w:szCs w:val="20"/>
        </w:rPr>
        <w:t xml:space="preserve">la supervivencia libre de progresión </w:t>
      </w:r>
      <w:r w:rsidR="00F67328">
        <w:rPr>
          <w:rFonts w:ascii="Arial" w:hAnsi="Arial" w:cs="Arial"/>
          <w:sz w:val="20"/>
          <w:szCs w:val="20"/>
        </w:rPr>
        <w:t>y</w:t>
      </w:r>
      <w:r w:rsidRPr="00126B1C">
        <w:rPr>
          <w:rFonts w:ascii="Arial" w:hAnsi="Arial" w:cs="Arial"/>
          <w:sz w:val="20"/>
          <w:szCs w:val="20"/>
        </w:rPr>
        <w:t xml:space="preserve"> la supervivencia global de los pacientes con </w:t>
      </w:r>
      <w:r w:rsidR="00F67328" w:rsidRPr="00126B1C">
        <w:rPr>
          <w:rFonts w:ascii="Arial" w:hAnsi="Arial" w:cs="Arial"/>
          <w:sz w:val="20"/>
          <w:szCs w:val="20"/>
        </w:rPr>
        <w:t>recaídos</w:t>
      </w:r>
      <w:r w:rsidRPr="00126B1C">
        <w:rPr>
          <w:rFonts w:ascii="Arial" w:hAnsi="Arial" w:cs="Arial"/>
          <w:sz w:val="20"/>
          <w:szCs w:val="20"/>
        </w:rPr>
        <w:t xml:space="preserve">/refractarios se ven fuertemente </w:t>
      </w:r>
      <w:r w:rsidR="00F67328">
        <w:rPr>
          <w:rFonts w:ascii="Arial" w:hAnsi="Arial" w:cs="Arial"/>
          <w:sz w:val="20"/>
          <w:szCs w:val="20"/>
        </w:rPr>
        <w:t>afectada</w:t>
      </w:r>
      <w:r w:rsidRPr="00126B1C">
        <w:rPr>
          <w:rFonts w:ascii="Arial" w:hAnsi="Arial" w:cs="Arial"/>
          <w:sz w:val="20"/>
          <w:szCs w:val="20"/>
        </w:rPr>
        <w:t xml:space="preserve"> de manera positiva </w:t>
      </w:r>
      <w:r w:rsidR="00F67328">
        <w:rPr>
          <w:rFonts w:ascii="Arial" w:hAnsi="Arial" w:cs="Arial"/>
          <w:sz w:val="20"/>
          <w:szCs w:val="20"/>
        </w:rPr>
        <w:t xml:space="preserve">al suministrar </w:t>
      </w:r>
      <w:r w:rsidRPr="00126B1C">
        <w:rPr>
          <w:rFonts w:ascii="Arial" w:hAnsi="Arial" w:cs="Arial"/>
          <w:sz w:val="20"/>
          <w:szCs w:val="20"/>
        </w:rPr>
        <w:t xml:space="preserve">altas dosis de quimioterapia más el trasplante autólogo de progenitores hematopoyéticos.  En este sentido </w:t>
      </w:r>
      <w:r w:rsidR="00F67328">
        <w:rPr>
          <w:rFonts w:ascii="Arial" w:hAnsi="Arial" w:cs="Arial"/>
          <w:sz w:val="20"/>
          <w:szCs w:val="20"/>
        </w:rPr>
        <w:t xml:space="preserve">el grupo GELL ha implementado este protocolo de investigación para </w:t>
      </w:r>
      <w:r w:rsidRPr="00126B1C">
        <w:rPr>
          <w:rFonts w:ascii="Arial" w:hAnsi="Arial" w:cs="Arial"/>
          <w:sz w:val="20"/>
          <w:szCs w:val="20"/>
        </w:rPr>
        <w:t xml:space="preserve">pacientes Latinoamericanos </w:t>
      </w:r>
      <w:r w:rsidR="00F67328">
        <w:rPr>
          <w:rFonts w:ascii="Arial" w:hAnsi="Arial" w:cs="Arial"/>
          <w:sz w:val="20"/>
          <w:szCs w:val="20"/>
        </w:rPr>
        <w:t>con el entendido de conocer la</w:t>
      </w:r>
      <w:r w:rsidRPr="00126B1C">
        <w:rPr>
          <w:rFonts w:ascii="Arial" w:hAnsi="Arial" w:cs="Arial"/>
          <w:sz w:val="20"/>
          <w:szCs w:val="20"/>
        </w:rPr>
        <w:t xml:space="preserve"> frecuencia de recaída/refractariedad del Linfoma de Hodgkin al igual que los resultados logrados con los diferentes esquemas de tratamiento disponibles</w:t>
      </w:r>
      <w:r w:rsidR="00F67328">
        <w:rPr>
          <w:rFonts w:ascii="Arial" w:hAnsi="Arial" w:cs="Arial"/>
          <w:sz w:val="20"/>
          <w:szCs w:val="20"/>
        </w:rPr>
        <w:t xml:space="preserve"> y la posibilidad de </w:t>
      </w:r>
      <w:r w:rsidR="00BD1CF7">
        <w:rPr>
          <w:rFonts w:ascii="Arial" w:hAnsi="Arial" w:cs="Arial"/>
          <w:sz w:val="20"/>
          <w:szCs w:val="20"/>
        </w:rPr>
        <w:t>trasplante,</w:t>
      </w:r>
      <w:r w:rsidR="00F67328">
        <w:rPr>
          <w:rFonts w:ascii="Arial" w:hAnsi="Arial" w:cs="Arial"/>
          <w:sz w:val="20"/>
          <w:szCs w:val="20"/>
        </w:rPr>
        <w:t xml:space="preserve"> así como del uso de agentes novedosos</w:t>
      </w:r>
      <w:r w:rsidRPr="00126B1C">
        <w:rPr>
          <w:rFonts w:ascii="Arial" w:hAnsi="Arial" w:cs="Arial"/>
          <w:sz w:val="20"/>
          <w:szCs w:val="20"/>
        </w:rPr>
        <w:t xml:space="preserve">. </w:t>
      </w:r>
    </w:p>
    <w:p w14:paraId="225A392D" w14:textId="77777777" w:rsidR="00EE4A9A" w:rsidRPr="00126B1C" w:rsidRDefault="00EE4A9A" w:rsidP="00EE4A9A">
      <w:pPr>
        <w:pStyle w:val="Prrafodelista"/>
        <w:ind w:left="0" w:right="13"/>
        <w:jc w:val="both"/>
        <w:rPr>
          <w:rFonts w:ascii="Arial" w:hAnsi="Arial" w:cs="Arial"/>
          <w:sz w:val="20"/>
          <w:szCs w:val="20"/>
        </w:rPr>
      </w:pPr>
    </w:p>
    <w:p w14:paraId="7A502FD0" w14:textId="77777777" w:rsidR="00EE4A9A" w:rsidRPr="00126B1C" w:rsidRDefault="00EE4A9A" w:rsidP="00EE4A9A">
      <w:pPr>
        <w:pStyle w:val="Prrafodelista"/>
        <w:ind w:left="0" w:right="13"/>
        <w:jc w:val="both"/>
        <w:rPr>
          <w:rFonts w:ascii="Arial" w:hAnsi="Arial" w:cs="Arial"/>
          <w:b/>
          <w:sz w:val="20"/>
          <w:szCs w:val="20"/>
        </w:rPr>
      </w:pPr>
      <w:r w:rsidRPr="00126B1C">
        <w:rPr>
          <w:rFonts w:ascii="Arial" w:hAnsi="Arial" w:cs="Arial"/>
          <w:b/>
          <w:sz w:val="20"/>
          <w:szCs w:val="20"/>
        </w:rPr>
        <w:t xml:space="preserve">Objetivo general: </w:t>
      </w:r>
    </w:p>
    <w:p w14:paraId="71472ECD" w14:textId="77777777" w:rsidR="00EE4A9A" w:rsidRPr="00126B1C" w:rsidRDefault="00EE4A9A" w:rsidP="00EE4A9A">
      <w:pPr>
        <w:pStyle w:val="Default"/>
        <w:jc w:val="both"/>
        <w:rPr>
          <w:sz w:val="20"/>
          <w:szCs w:val="20"/>
        </w:rPr>
      </w:pPr>
      <w:r w:rsidRPr="00126B1C">
        <w:rPr>
          <w:sz w:val="20"/>
          <w:szCs w:val="20"/>
        </w:rPr>
        <w:t xml:space="preserve">Describir las características clínicas y los resultados oncológicos del tratamiento de rescate en pacientes con </w:t>
      </w:r>
    </w:p>
    <w:p w14:paraId="52DB7292" w14:textId="76C2AFA0" w:rsidR="00EE4A9A" w:rsidRPr="00126B1C" w:rsidRDefault="00EE4A9A" w:rsidP="00EE4A9A">
      <w:pPr>
        <w:pStyle w:val="Default"/>
        <w:jc w:val="both"/>
        <w:rPr>
          <w:sz w:val="20"/>
          <w:szCs w:val="20"/>
        </w:rPr>
      </w:pPr>
      <w:r w:rsidRPr="00126B1C">
        <w:rPr>
          <w:sz w:val="20"/>
          <w:szCs w:val="20"/>
        </w:rPr>
        <w:t>Linfoma de Hodgkin ref</w:t>
      </w:r>
      <w:r>
        <w:rPr>
          <w:sz w:val="20"/>
          <w:szCs w:val="20"/>
        </w:rPr>
        <w:t xml:space="preserve">ractario o recaído atendidos en </w:t>
      </w:r>
      <w:r w:rsidRPr="006365F5">
        <w:rPr>
          <w:sz w:val="20"/>
          <w:szCs w:val="20"/>
        </w:rPr>
        <w:t xml:space="preserve">Centros de Referencia Oncológicos en Latinoamérica </w:t>
      </w:r>
      <w:r w:rsidR="00F67328">
        <w:rPr>
          <w:sz w:val="20"/>
          <w:szCs w:val="20"/>
        </w:rPr>
        <w:t xml:space="preserve">que pertenecen al grupo GELL </w:t>
      </w:r>
      <w:r>
        <w:rPr>
          <w:sz w:val="20"/>
          <w:szCs w:val="20"/>
        </w:rPr>
        <w:t>durante el periodo comprendido entre 2010 a 2020.</w:t>
      </w:r>
    </w:p>
    <w:p w14:paraId="47C72DDF" w14:textId="77777777" w:rsidR="00EE4A9A" w:rsidRPr="00126B1C" w:rsidRDefault="00EE4A9A" w:rsidP="00EE4A9A">
      <w:pPr>
        <w:pStyle w:val="Default"/>
        <w:jc w:val="both"/>
        <w:rPr>
          <w:sz w:val="20"/>
          <w:szCs w:val="20"/>
        </w:rPr>
      </w:pPr>
    </w:p>
    <w:p w14:paraId="3F378DE4" w14:textId="77777777" w:rsidR="00EE4A9A" w:rsidRPr="00126B1C" w:rsidRDefault="00EE4A9A" w:rsidP="00EE4A9A">
      <w:pPr>
        <w:pStyle w:val="Default"/>
        <w:jc w:val="both"/>
        <w:rPr>
          <w:sz w:val="20"/>
          <w:szCs w:val="20"/>
        </w:rPr>
      </w:pPr>
      <w:r w:rsidRPr="00126B1C">
        <w:rPr>
          <w:b/>
          <w:bCs/>
          <w:sz w:val="20"/>
          <w:szCs w:val="20"/>
        </w:rPr>
        <w:t xml:space="preserve">Materiales y métodos </w:t>
      </w:r>
    </w:p>
    <w:p w14:paraId="514B416A" w14:textId="26249520" w:rsidR="00EE4A9A" w:rsidRPr="00126B1C" w:rsidRDefault="00EE4A9A" w:rsidP="00EE4A9A">
      <w:pPr>
        <w:ind w:right="13"/>
        <w:jc w:val="both"/>
        <w:rPr>
          <w:rFonts w:ascii="Arial" w:hAnsi="Arial" w:cs="Arial"/>
          <w:sz w:val="20"/>
          <w:szCs w:val="20"/>
        </w:rPr>
      </w:pPr>
      <w:r w:rsidRPr="00126B1C">
        <w:rPr>
          <w:rFonts w:ascii="Arial" w:hAnsi="Arial" w:cs="Arial"/>
          <w:b/>
          <w:bCs/>
          <w:sz w:val="20"/>
          <w:szCs w:val="20"/>
        </w:rPr>
        <w:t xml:space="preserve">Diseño del estudio: </w:t>
      </w:r>
      <w:r w:rsidR="00F67328">
        <w:rPr>
          <w:rFonts w:ascii="Arial" w:hAnsi="Arial" w:cs="Arial"/>
          <w:sz w:val="20"/>
          <w:szCs w:val="20"/>
        </w:rPr>
        <w:t xml:space="preserve">Estudio de corte transversal analítico </w:t>
      </w:r>
    </w:p>
    <w:p w14:paraId="4F195453" w14:textId="77777777" w:rsidR="00EE4A9A" w:rsidRDefault="00EE4A9A" w:rsidP="00EE4A9A">
      <w:pPr>
        <w:pStyle w:val="Default"/>
        <w:jc w:val="both"/>
        <w:rPr>
          <w:sz w:val="20"/>
          <w:szCs w:val="20"/>
        </w:rPr>
      </w:pPr>
      <w:r w:rsidRPr="00126B1C">
        <w:rPr>
          <w:b/>
          <w:bCs/>
          <w:sz w:val="20"/>
          <w:szCs w:val="20"/>
        </w:rPr>
        <w:t xml:space="preserve">Población de estudio: </w:t>
      </w:r>
      <w:r w:rsidRPr="00126B1C">
        <w:rPr>
          <w:sz w:val="20"/>
          <w:szCs w:val="20"/>
        </w:rPr>
        <w:t xml:space="preserve">Pacientes consecutivos con diagnóstico de Linfoma Hodgkin mayores de 18 años </w:t>
      </w:r>
      <w:r>
        <w:rPr>
          <w:sz w:val="20"/>
          <w:szCs w:val="20"/>
        </w:rPr>
        <w:t xml:space="preserve">atendidos </w:t>
      </w:r>
      <w:r w:rsidRPr="00126B1C">
        <w:rPr>
          <w:sz w:val="20"/>
          <w:szCs w:val="20"/>
        </w:rPr>
        <w:t>en</w:t>
      </w:r>
      <w:r>
        <w:rPr>
          <w:sz w:val="20"/>
          <w:szCs w:val="20"/>
        </w:rPr>
        <w:t xml:space="preserve"> </w:t>
      </w:r>
      <w:r w:rsidRPr="006365F5">
        <w:rPr>
          <w:sz w:val="20"/>
          <w:szCs w:val="20"/>
        </w:rPr>
        <w:t xml:space="preserve">Centros de Referencia Oncológicos en Latinoamérica </w:t>
      </w:r>
      <w:r w:rsidRPr="00126B1C">
        <w:rPr>
          <w:sz w:val="20"/>
          <w:szCs w:val="20"/>
        </w:rPr>
        <w:t xml:space="preserve">durante el periodo comprendido entre </w:t>
      </w:r>
      <w:r>
        <w:rPr>
          <w:sz w:val="20"/>
          <w:szCs w:val="20"/>
        </w:rPr>
        <w:t>2010 a 2020</w:t>
      </w:r>
    </w:p>
    <w:p w14:paraId="19C4E5AC" w14:textId="77777777" w:rsidR="00EE4A9A" w:rsidRPr="00126B1C" w:rsidRDefault="00EE4A9A" w:rsidP="00EE4A9A">
      <w:pPr>
        <w:pStyle w:val="Default"/>
        <w:jc w:val="both"/>
        <w:rPr>
          <w:sz w:val="20"/>
          <w:szCs w:val="20"/>
        </w:rPr>
      </w:pPr>
    </w:p>
    <w:p w14:paraId="31ABB214" w14:textId="31801CCF" w:rsidR="00EE4A9A" w:rsidRPr="00126B1C" w:rsidRDefault="00EE4A9A" w:rsidP="00EE4A9A">
      <w:pPr>
        <w:ind w:right="13"/>
        <w:jc w:val="both"/>
        <w:rPr>
          <w:rFonts w:ascii="Arial" w:hAnsi="Arial" w:cs="Arial"/>
          <w:sz w:val="20"/>
          <w:szCs w:val="20"/>
        </w:rPr>
      </w:pPr>
      <w:r w:rsidRPr="00126B1C">
        <w:rPr>
          <w:rFonts w:ascii="Arial" w:hAnsi="Arial" w:cs="Arial"/>
          <w:b/>
          <w:bCs/>
          <w:sz w:val="20"/>
          <w:szCs w:val="20"/>
        </w:rPr>
        <w:t xml:space="preserve">Procedimientos: </w:t>
      </w:r>
      <w:r w:rsidRPr="00126B1C">
        <w:rPr>
          <w:rFonts w:ascii="Arial" w:hAnsi="Arial" w:cs="Arial"/>
          <w:sz w:val="20"/>
          <w:szCs w:val="20"/>
        </w:rPr>
        <w:t xml:space="preserve">La búsqueda de los pacientes se realizará mediante los registros disponibles en </w:t>
      </w:r>
      <w:r>
        <w:rPr>
          <w:rFonts w:ascii="Arial" w:hAnsi="Arial" w:cs="Arial"/>
          <w:sz w:val="20"/>
          <w:szCs w:val="20"/>
        </w:rPr>
        <w:t xml:space="preserve">cada uno de los </w:t>
      </w:r>
      <w:r w:rsidRPr="00126B1C">
        <w:rPr>
          <w:rFonts w:ascii="Arial" w:hAnsi="Arial" w:cs="Arial"/>
          <w:sz w:val="20"/>
          <w:szCs w:val="20"/>
        </w:rPr>
        <w:t>Servicio</w:t>
      </w:r>
      <w:r>
        <w:rPr>
          <w:rFonts w:ascii="Arial" w:hAnsi="Arial" w:cs="Arial"/>
          <w:sz w:val="20"/>
          <w:szCs w:val="20"/>
        </w:rPr>
        <w:t xml:space="preserve">s de hematología de los </w:t>
      </w:r>
      <w:r w:rsidRPr="006365F5">
        <w:rPr>
          <w:rFonts w:ascii="Arial" w:hAnsi="Arial" w:cs="Arial"/>
          <w:sz w:val="20"/>
          <w:szCs w:val="20"/>
        </w:rPr>
        <w:t xml:space="preserve">Centros de Referencia Oncológicos en Latinoamérica </w:t>
      </w:r>
      <w:r>
        <w:rPr>
          <w:rFonts w:ascii="Arial" w:hAnsi="Arial" w:cs="Arial"/>
          <w:sz w:val="20"/>
          <w:szCs w:val="20"/>
        </w:rPr>
        <w:t xml:space="preserve">participantes. </w:t>
      </w:r>
      <w:r w:rsidRPr="00126B1C">
        <w:rPr>
          <w:rFonts w:ascii="Arial" w:hAnsi="Arial" w:cs="Arial"/>
          <w:sz w:val="20"/>
          <w:szCs w:val="20"/>
        </w:rPr>
        <w:t>Se obtendrán los datos de h</w:t>
      </w:r>
      <w:r>
        <w:rPr>
          <w:rFonts w:ascii="Arial" w:hAnsi="Arial" w:cs="Arial"/>
          <w:sz w:val="20"/>
          <w:szCs w:val="20"/>
        </w:rPr>
        <w:t xml:space="preserve">istoria clínica consignados en los sistemas de información que cada institución disponga para ellos. </w:t>
      </w:r>
      <w:r w:rsidRPr="00126B1C">
        <w:rPr>
          <w:rFonts w:ascii="Arial" w:hAnsi="Arial" w:cs="Arial"/>
          <w:sz w:val="20"/>
          <w:szCs w:val="20"/>
        </w:rPr>
        <w:t xml:space="preserve">La información de los pacientes incluidos se registrará en </w:t>
      </w:r>
      <w:r w:rsidR="00F67328">
        <w:rPr>
          <w:rFonts w:ascii="Arial" w:hAnsi="Arial" w:cs="Arial"/>
          <w:sz w:val="20"/>
          <w:szCs w:val="20"/>
        </w:rPr>
        <w:t xml:space="preserve">una base de datos conjunta teniendo en cuenta </w:t>
      </w:r>
      <w:r w:rsidR="00BD1CF7">
        <w:rPr>
          <w:rFonts w:ascii="Arial" w:hAnsi="Arial" w:cs="Arial"/>
          <w:sz w:val="20"/>
          <w:szCs w:val="20"/>
        </w:rPr>
        <w:t>todos los requerimientos</w:t>
      </w:r>
      <w:r w:rsidR="00F67328">
        <w:rPr>
          <w:rFonts w:ascii="Arial" w:hAnsi="Arial" w:cs="Arial"/>
          <w:sz w:val="20"/>
          <w:szCs w:val="20"/>
        </w:rPr>
        <w:t xml:space="preserve"> de investigación clínica en humanos según la declaración de Helsinki.</w:t>
      </w:r>
    </w:p>
    <w:p w14:paraId="22DB84C1" w14:textId="77777777" w:rsidR="00EE4A9A" w:rsidRPr="00126B1C" w:rsidRDefault="00EE4A9A" w:rsidP="00EE4A9A">
      <w:pPr>
        <w:ind w:right="13"/>
        <w:jc w:val="both"/>
        <w:rPr>
          <w:rFonts w:ascii="Arial" w:hAnsi="Arial" w:cs="Arial"/>
          <w:b/>
          <w:sz w:val="20"/>
          <w:szCs w:val="20"/>
        </w:rPr>
      </w:pPr>
    </w:p>
    <w:p w14:paraId="5A80B1A2" w14:textId="77777777" w:rsidR="00EE4A9A" w:rsidRPr="00126B1C" w:rsidRDefault="00EE4A9A" w:rsidP="00EE4A9A">
      <w:pPr>
        <w:ind w:right="13"/>
        <w:jc w:val="both"/>
        <w:rPr>
          <w:rFonts w:ascii="Arial" w:hAnsi="Arial" w:cs="Arial"/>
          <w:b/>
          <w:sz w:val="20"/>
          <w:szCs w:val="20"/>
        </w:rPr>
      </w:pPr>
      <w:r w:rsidRPr="00126B1C">
        <w:rPr>
          <w:rFonts w:ascii="Arial" w:hAnsi="Arial" w:cs="Arial"/>
          <w:b/>
          <w:sz w:val="20"/>
          <w:szCs w:val="20"/>
        </w:rPr>
        <w:t>PALABRAS CLAVE:</w:t>
      </w:r>
    </w:p>
    <w:p w14:paraId="162B85AC" w14:textId="77777777" w:rsidR="00EE4A9A" w:rsidRPr="00126B1C" w:rsidRDefault="00EE4A9A" w:rsidP="00EE4A9A">
      <w:pPr>
        <w:ind w:right="13"/>
        <w:jc w:val="both"/>
        <w:rPr>
          <w:rFonts w:ascii="Arial" w:hAnsi="Arial" w:cs="Arial"/>
          <w:bCs/>
          <w:sz w:val="20"/>
          <w:szCs w:val="20"/>
        </w:rPr>
      </w:pPr>
      <w:r w:rsidRPr="00126B1C">
        <w:rPr>
          <w:rFonts w:ascii="Arial" w:hAnsi="Arial" w:cs="Arial"/>
          <w:bCs/>
          <w:sz w:val="20"/>
          <w:szCs w:val="20"/>
        </w:rPr>
        <w:t>Trasplante autólogo de progenitores hematopoyéticos</w:t>
      </w:r>
    </w:p>
    <w:p w14:paraId="1EB3C797" w14:textId="77777777" w:rsidR="00EE4A9A" w:rsidRPr="00126B1C" w:rsidRDefault="00EE4A9A" w:rsidP="00EE4A9A">
      <w:pPr>
        <w:ind w:right="13"/>
        <w:jc w:val="both"/>
        <w:rPr>
          <w:rFonts w:ascii="Arial" w:hAnsi="Arial" w:cs="Arial"/>
          <w:sz w:val="20"/>
          <w:szCs w:val="20"/>
        </w:rPr>
      </w:pPr>
      <w:r w:rsidRPr="00126B1C">
        <w:rPr>
          <w:rFonts w:ascii="Arial" w:hAnsi="Arial" w:cs="Arial"/>
          <w:sz w:val="20"/>
          <w:szCs w:val="20"/>
        </w:rPr>
        <w:t xml:space="preserve">Linfoma de Hodgkin </w:t>
      </w:r>
    </w:p>
    <w:p w14:paraId="71FCB6DB" w14:textId="77777777" w:rsidR="00EE4A9A" w:rsidRPr="00490588" w:rsidRDefault="00EE4A9A" w:rsidP="00EE4A9A">
      <w:pPr>
        <w:ind w:right="13"/>
        <w:jc w:val="both"/>
        <w:rPr>
          <w:rFonts w:ascii="Arial" w:hAnsi="Arial" w:cs="Arial"/>
          <w:sz w:val="20"/>
          <w:szCs w:val="20"/>
        </w:rPr>
      </w:pPr>
      <w:r w:rsidRPr="00126B1C">
        <w:rPr>
          <w:rFonts w:ascii="Arial" w:hAnsi="Arial" w:cs="Arial"/>
          <w:sz w:val="20"/>
          <w:szCs w:val="20"/>
        </w:rPr>
        <w:lastRenderedPageBreak/>
        <w:t>Quimioterapia</w:t>
      </w:r>
    </w:p>
    <w:p w14:paraId="06FFE8F2" w14:textId="77777777" w:rsidR="00EE4A9A" w:rsidRPr="00490588" w:rsidRDefault="00EE4A9A" w:rsidP="00EE4A9A">
      <w:pPr>
        <w:ind w:right="13"/>
        <w:jc w:val="both"/>
        <w:rPr>
          <w:rFonts w:ascii="Arial" w:hAnsi="Arial" w:cs="Arial"/>
          <w:sz w:val="20"/>
          <w:szCs w:val="20"/>
        </w:rPr>
      </w:pPr>
    </w:p>
    <w:p w14:paraId="22984948" w14:textId="1D243D7E" w:rsidR="00EE4A9A" w:rsidRDefault="00F67328" w:rsidP="00EE4A9A">
      <w:pPr>
        <w:ind w:right="13"/>
        <w:jc w:val="both"/>
        <w:rPr>
          <w:rFonts w:ascii="Arial" w:hAnsi="Arial" w:cs="Arial"/>
          <w:b/>
          <w:bCs/>
        </w:rPr>
      </w:pPr>
      <w:r>
        <w:rPr>
          <w:rFonts w:ascii="Arial" w:hAnsi="Arial" w:cs="Arial"/>
          <w:b/>
          <w:bCs/>
        </w:rPr>
        <w:t>Introducción</w:t>
      </w:r>
    </w:p>
    <w:p w14:paraId="296C16CB" w14:textId="77777777" w:rsidR="00F67328" w:rsidRPr="004662BE" w:rsidRDefault="00F67328" w:rsidP="00EE4A9A">
      <w:pPr>
        <w:ind w:right="13"/>
        <w:jc w:val="both"/>
        <w:rPr>
          <w:rFonts w:ascii="Arial" w:hAnsi="Arial" w:cs="Arial"/>
          <w:b/>
          <w:bCs/>
        </w:rPr>
      </w:pPr>
    </w:p>
    <w:p w14:paraId="47401FEE" w14:textId="32E47767" w:rsidR="00EE4A9A" w:rsidRDefault="00EE4A9A" w:rsidP="00F67328">
      <w:pPr>
        <w:pStyle w:val="Default"/>
        <w:jc w:val="both"/>
        <w:rPr>
          <w:sz w:val="20"/>
          <w:szCs w:val="20"/>
        </w:rPr>
      </w:pPr>
      <w:r>
        <w:rPr>
          <w:sz w:val="20"/>
          <w:szCs w:val="20"/>
        </w:rPr>
        <w:t xml:space="preserve">El Linfoma de Hodgkin corresponde al linfoma más común que afecta a la población joven, reportándose en 2012 alrededor de 66.000 nuevos casos diagnosticados en todo el mundo (0,5% de todos los casos de cáncer) según el registro GLOBOCAN (1). </w:t>
      </w:r>
      <w:r w:rsidR="00845C43">
        <w:rPr>
          <w:sz w:val="20"/>
          <w:szCs w:val="20"/>
        </w:rPr>
        <w:t>E</w:t>
      </w:r>
      <w:r>
        <w:rPr>
          <w:sz w:val="20"/>
          <w:szCs w:val="20"/>
        </w:rPr>
        <w:t xml:space="preserve">l Linfoma de </w:t>
      </w:r>
      <w:proofErr w:type="spellStart"/>
      <w:r>
        <w:rPr>
          <w:sz w:val="20"/>
          <w:szCs w:val="20"/>
        </w:rPr>
        <w:t>Hodgkin</w:t>
      </w:r>
      <w:proofErr w:type="spellEnd"/>
      <w:r>
        <w:rPr>
          <w:sz w:val="20"/>
          <w:szCs w:val="20"/>
        </w:rPr>
        <w:t xml:space="preserve"> se estima tiene una tasa de incidencia ajustada por edad de 1 caso por 100.000 habitantes en hombres y 0.5 casos por 100.000 habitantes en mujeres con una tasa de mortalidad de 0.4 casos por 100.000 habitantes. Su incidencia se describe bimodal con la mayor presentación entre los 15 y 34 años y un segundo pico en individuos mayores de 60 años. </w:t>
      </w:r>
    </w:p>
    <w:p w14:paraId="0215BFF6" w14:textId="77777777" w:rsidR="00EE4A9A" w:rsidRDefault="00EE4A9A" w:rsidP="00EE4A9A">
      <w:pPr>
        <w:pStyle w:val="Default"/>
        <w:rPr>
          <w:sz w:val="20"/>
          <w:szCs w:val="20"/>
        </w:rPr>
      </w:pPr>
    </w:p>
    <w:p w14:paraId="1771F352" w14:textId="3BAA1777" w:rsidR="00EE4A9A" w:rsidRDefault="00EE4A9A" w:rsidP="00F67328">
      <w:pPr>
        <w:pStyle w:val="Default"/>
        <w:jc w:val="both"/>
        <w:rPr>
          <w:sz w:val="20"/>
          <w:szCs w:val="20"/>
        </w:rPr>
      </w:pPr>
      <w:r>
        <w:rPr>
          <w:sz w:val="20"/>
          <w:szCs w:val="20"/>
        </w:rPr>
        <w:t>Se considera una entidad potencialmente curable, con una supervivencia global de hasta el 80% a cinco años alcanzada con la terapia estándar de primera línea (</w:t>
      </w:r>
      <w:r w:rsidR="00845C43">
        <w:rPr>
          <w:sz w:val="20"/>
          <w:szCs w:val="20"/>
        </w:rPr>
        <w:t>2</w:t>
      </w:r>
      <w:r>
        <w:rPr>
          <w:sz w:val="20"/>
          <w:szCs w:val="20"/>
        </w:rPr>
        <w:t>). Sin embargo, pacientes con enfermedad avanzada pueden tener riesgo de recaídas entre el 30 al 40% y cerca de un 10 al 15% fallan en lograr remisión con la terapia de primera línea, considerándose esto una enfermedad refractaria (</w:t>
      </w:r>
      <w:r w:rsidR="00845C43">
        <w:rPr>
          <w:sz w:val="20"/>
          <w:szCs w:val="20"/>
        </w:rPr>
        <w:t>3</w:t>
      </w:r>
      <w:r>
        <w:rPr>
          <w:sz w:val="20"/>
          <w:szCs w:val="20"/>
        </w:rPr>
        <w:t>). Existen diferencias en las posibilidades de segunda respuesta de acuerdo a si corresponde a una recaída o a una enfermedad refractaria. Aquellos pacientes que recaen después de 12 meses tienen una probabilidad del 75% de lograr una segunda remisión con la terapia de rescate y el trasplante autólogo, mientras que sólo el 40% de aquellos pacientes que recaen antes de 12 meses y el 20% con enfermedad refractaria primaria, alcanzan una remisión secundaria sostenida (</w:t>
      </w:r>
      <w:r w:rsidR="00845C43">
        <w:rPr>
          <w:sz w:val="20"/>
          <w:szCs w:val="20"/>
        </w:rPr>
        <w:t>4</w:t>
      </w:r>
      <w:r>
        <w:rPr>
          <w:sz w:val="20"/>
          <w:szCs w:val="20"/>
        </w:rPr>
        <w:t xml:space="preserve">). </w:t>
      </w:r>
    </w:p>
    <w:p w14:paraId="0990580D" w14:textId="77777777" w:rsidR="00EE4A9A" w:rsidRDefault="00EE4A9A" w:rsidP="00EE4A9A">
      <w:pPr>
        <w:pStyle w:val="Default"/>
        <w:rPr>
          <w:sz w:val="20"/>
          <w:szCs w:val="20"/>
        </w:rPr>
      </w:pPr>
    </w:p>
    <w:p w14:paraId="018EAB3D" w14:textId="396FB29C" w:rsidR="00EE4A9A" w:rsidRDefault="00EE4A9A" w:rsidP="00F67328">
      <w:pPr>
        <w:pStyle w:val="Default"/>
        <w:jc w:val="both"/>
        <w:rPr>
          <w:sz w:val="20"/>
          <w:szCs w:val="20"/>
        </w:rPr>
      </w:pPr>
      <w:r>
        <w:rPr>
          <w:sz w:val="20"/>
          <w:szCs w:val="20"/>
        </w:rPr>
        <w:t>El tratamiento de rescate que ha demostrado los mejores desenlaces en cuanto a supervivencia global y libre de progresión consiste en a) dos ciclos intensivos de inducción que permitan el logro de una segunda remisión y b) altas dosis de quimioterapia más trasplante autólogo de progenitores hematopoyéticos (</w:t>
      </w:r>
      <w:r w:rsidR="00845C43">
        <w:rPr>
          <w:sz w:val="20"/>
          <w:szCs w:val="20"/>
        </w:rPr>
        <w:t>5)</w:t>
      </w:r>
      <w:r>
        <w:rPr>
          <w:sz w:val="20"/>
          <w:szCs w:val="20"/>
        </w:rPr>
        <w:t xml:space="preserve">. Solamente los pacientes que logren una segunda remisión podrán ser candidatos a completar el tratamiento de rescate. En la actualidad, en la práctica clínica, la quimioterapia de altas dosis más trasplante autólogo se encuentran estandarizados. No </w:t>
      </w:r>
      <w:r w:rsidR="00BD1CF7">
        <w:rPr>
          <w:sz w:val="20"/>
          <w:szCs w:val="20"/>
        </w:rPr>
        <w:t>obstante,</w:t>
      </w:r>
      <w:r>
        <w:rPr>
          <w:sz w:val="20"/>
          <w:szCs w:val="20"/>
        </w:rPr>
        <w:t xml:space="preserve"> los protocolos de inducción a la segunda remisión son variados y no se disponen de estudios comparativos</w:t>
      </w:r>
      <w:r w:rsidR="00845C43">
        <w:rPr>
          <w:sz w:val="20"/>
          <w:szCs w:val="20"/>
        </w:rPr>
        <w:t xml:space="preserve"> (6)</w:t>
      </w:r>
      <w:r>
        <w:rPr>
          <w:sz w:val="20"/>
          <w:szCs w:val="20"/>
        </w:rPr>
        <w:t xml:space="preserve">. </w:t>
      </w:r>
    </w:p>
    <w:p w14:paraId="594C05B2" w14:textId="77777777" w:rsidR="00EE4A9A" w:rsidRDefault="00EE4A9A" w:rsidP="00EE4A9A">
      <w:pPr>
        <w:pStyle w:val="Default"/>
        <w:rPr>
          <w:sz w:val="20"/>
          <w:szCs w:val="20"/>
        </w:rPr>
      </w:pPr>
    </w:p>
    <w:p w14:paraId="548362E4" w14:textId="77777777" w:rsidR="00EE4A9A" w:rsidRPr="00490588" w:rsidRDefault="00EE4A9A" w:rsidP="00F67328">
      <w:pPr>
        <w:pStyle w:val="Default"/>
        <w:jc w:val="both"/>
        <w:rPr>
          <w:sz w:val="20"/>
          <w:szCs w:val="20"/>
        </w:rPr>
      </w:pPr>
      <w:r w:rsidRPr="00C44A59">
        <w:rPr>
          <w:sz w:val="20"/>
          <w:szCs w:val="20"/>
        </w:rPr>
        <w:t>Teniendo en cuenta la variedad de esquemas de quimioterapia descritos en la literatura para el tratamiento de rescate en esta condición, resulta fundamental conocer cuáles son los regímenes más utilizados en la institución y describir las respuestas alcanzadas con los mismos, en aras de establecer en posteriores guías de práctica clínica la mejor alternativa terapéutica para nuestra población de pacientes.</w:t>
      </w:r>
    </w:p>
    <w:p w14:paraId="4F75B957" w14:textId="77777777" w:rsidR="00EE4A9A" w:rsidRPr="00490588" w:rsidRDefault="00EE4A9A" w:rsidP="00EE4A9A">
      <w:pPr>
        <w:ind w:right="13"/>
        <w:jc w:val="both"/>
        <w:rPr>
          <w:rFonts w:ascii="Arial" w:eastAsia="Arial" w:hAnsi="Arial" w:cs="Arial"/>
          <w:sz w:val="20"/>
          <w:szCs w:val="20"/>
        </w:rPr>
      </w:pPr>
    </w:p>
    <w:p w14:paraId="725429C0" w14:textId="77777777" w:rsidR="00EE4A9A" w:rsidRPr="00490588" w:rsidRDefault="00EE4A9A" w:rsidP="00EE4A9A">
      <w:pPr>
        <w:ind w:right="13"/>
        <w:jc w:val="both"/>
        <w:rPr>
          <w:rFonts w:ascii="Arial" w:eastAsia="Arial" w:hAnsi="Arial" w:cs="Arial"/>
          <w:sz w:val="20"/>
          <w:szCs w:val="20"/>
        </w:rPr>
      </w:pPr>
    </w:p>
    <w:p w14:paraId="21D2A137" w14:textId="77777777" w:rsidR="00EE4A9A" w:rsidRPr="00490588" w:rsidRDefault="00EE4A9A" w:rsidP="00EE4A9A">
      <w:pPr>
        <w:ind w:right="13"/>
        <w:jc w:val="both"/>
        <w:rPr>
          <w:rFonts w:ascii="Arial" w:eastAsia="Arial" w:hAnsi="Arial" w:cs="Arial"/>
          <w:b/>
          <w:color w:val="000000"/>
          <w:sz w:val="20"/>
          <w:szCs w:val="20"/>
        </w:rPr>
      </w:pPr>
      <w:r w:rsidRPr="00490588">
        <w:rPr>
          <w:rFonts w:ascii="Arial" w:eastAsia="Arial" w:hAnsi="Arial" w:cs="Arial"/>
          <w:b/>
          <w:color w:val="000000"/>
          <w:sz w:val="20"/>
          <w:szCs w:val="20"/>
        </w:rPr>
        <w:t>OBJETIVOS</w:t>
      </w:r>
    </w:p>
    <w:p w14:paraId="287F7534" w14:textId="77777777" w:rsidR="00EE4A9A" w:rsidRDefault="00EE4A9A" w:rsidP="00EE4A9A">
      <w:pPr>
        <w:pStyle w:val="Default"/>
        <w:jc w:val="both"/>
        <w:rPr>
          <w:sz w:val="20"/>
          <w:szCs w:val="20"/>
        </w:rPr>
      </w:pPr>
    </w:p>
    <w:p w14:paraId="3CC00489" w14:textId="77777777" w:rsidR="00EE4A9A" w:rsidRPr="00C44A59" w:rsidRDefault="00EE4A9A" w:rsidP="00EE4A9A">
      <w:pPr>
        <w:pStyle w:val="Default"/>
        <w:jc w:val="both"/>
        <w:rPr>
          <w:b/>
          <w:sz w:val="20"/>
          <w:szCs w:val="20"/>
        </w:rPr>
      </w:pPr>
      <w:r w:rsidRPr="00C44A59">
        <w:rPr>
          <w:b/>
          <w:sz w:val="20"/>
          <w:szCs w:val="20"/>
        </w:rPr>
        <w:t>General</w:t>
      </w:r>
    </w:p>
    <w:p w14:paraId="2D7AE1E6" w14:textId="77777777" w:rsidR="00EE4A9A" w:rsidRDefault="00EE4A9A" w:rsidP="00EE4A9A">
      <w:pPr>
        <w:pStyle w:val="Default"/>
        <w:jc w:val="both"/>
        <w:rPr>
          <w:sz w:val="20"/>
          <w:szCs w:val="20"/>
        </w:rPr>
      </w:pPr>
    </w:p>
    <w:p w14:paraId="4B7A466D" w14:textId="6DB30015" w:rsidR="00EE4A9A" w:rsidRPr="00126B1C" w:rsidRDefault="00EE4A9A" w:rsidP="00F67328">
      <w:pPr>
        <w:pStyle w:val="Default"/>
        <w:jc w:val="both"/>
        <w:rPr>
          <w:sz w:val="20"/>
          <w:szCs w:val="20"/>
        </w:rPr>
      </w:pPr>
      <w:r w:rsidRPr="00126B1C">
        <w:rPr>
          <w:sz w:val="20"/>
          <w:szCs w:val="20"/>
        </w:rPr>
        <w:t xml:space="preserve">Describir las características clínicas y los resultados oncológicos del tratamiento de rescate en pacientes </w:t>
      </w:r>
      <w:r w:rsidR="00BD1CF7" w:rsidRPr="00126B1C">
        <w:rPr>
          <w:sz w:val="20"/>
          <w:szCs w:val="20"/>
        </w:rPr>
        <w:t xml:space="preserve">con </w:t>
      </w:r>
      <w:r w:rsidR="00BD1CF7">
        <w:rPr>
          <w:sz w:val="20"/>
          <w:szCs w:val="20"/>
        </w:rPr>
        <w:t>Linfoma</w:t>
      </w:r>
      <w:r w:rsidRPr="00126B1C">
        <w:rPr>
          <w:sz w:val="20"/>
          <w:szCs w:val="20"/>
        </w:rPr>
        <w:t xml:space="preserve"> de Hodgkin ref</w:t>
      </w:r>
      <w:r>
        <w:rPr>
          <w:sz w:val="20"/>
          <w:szCs w:val="20"/>
        </w:rPr>
        <w:t xml:space="preserve">ractario o recaído atendidos en </w:t>
      </w:r>
      <w:r w:rsidRPr="006365F5">
        <w:rPr>
          <w:sz w:val="20"/>
          <w:szCs w:val="20"/>
        </w:rPr>
        <w:t xml:space="preserve">Centros de Referencia Oncológicos en Latinoamérica </w:t>
      </w:r>
      <w:r>
        <w:rPr>
          <w:sz w:val="20"/>
          <w:szCs w:val="20"/>
        </w:rPr>
        <w:t>durante el periodo comprendido entre 2010 a 2020.</w:t>
      </w:r>
    </w:p>
    <w:p w14:paraId="2CECA8E7" w14:textId="77777777" w:rsidR="00EE4A9A" w:rsidRPr="00490588" w:rsidRDefault="00EE4A9A" w:rsidP="00EE4A9A">
      <w:pPr>
        <w:jc w:val="both"/>
        <w:rPr>
          <w:rFonts w:ascii="Arial" w:hAnsi="Arial" w:cs="Arial"/>
          <w:sz w:val="20"/>
          <w:szCs w:val="20"/>
          <w:lang w:eastAsia="es-CO"/>
        </w:rPr>
      </w:pPr>
    </w:p>
    <w:p w14:paraId="0E186F93" w14:textId="77777777" w:rsidR="00EE4A9A" w:rsidRDefault="00EE4A9A" w:rsidP="00EE4A9A">
      <w:pPr>
        <w:jc w:val="both"/>
        <w:rPr>
          <w:rFonts w:ascii="Arial" w:hAnsi="Arial" w:cs="Arial"/>
          <w:b/>
          <w:bCs/>
          <w:sz w:val="20"/>
          <w:szCs w:val="20"/>
          <w:lang w:eastAsia="es-CO"/>
        </w:rPr>
      </w:pPr>
    </w:p>
    <w:p w14:paraId="5A7D2315" w14:textId="77777777" w:rsidR="00EE4A9A" w:rsidRPr="00490588" w:rsidRDefault="00EE4A9A" w:rsidP="00EE4A9A">
      <w:pPr>
        <w:jc w:val="both"/>
        <w:rPr>
          <w:rFonts w:ascii="Arial" w:hAnsi="Arial" w:cs="Arial"/>
          <w:b/>
          <w:bCs/>
          <w:sz w:val="20"/>
          <w:szCs w:val="20"/>
          <w:lang w:eastAsia="es-CO"/>
        </w:rPr>
      </w:pPr>
      <w:r w:rsidRPr="00490588">
        <w:rPr>
          <w:rFonts w:ascii="Arial" w:hAnsi="Arial" w:cs="Arial"/>
          <w:b/>
          <w:bCs/>
          <w:sz w:val="20"/>
          <w:szCs w:val="20"/>
          <w:lang w:eastAsia="es-CO"/>
        </w:rPr>
        <w:t>Objetivos específicos</w:t>
      </w:r>
    </w:p>
    <w:p w14:paraId="0DB7BDD0" w14:textId="77777777" w:rsidR="00EE4A9A" w:rsidRPr="004662BE" w:rsidRDefault="00EE4A9A" w:rsidP="00EE4A9A">
      <w:pPr>
        <w:autoSpaceDE w:val="0"/>
        <w:autoSpaceDN w:val="0"/>
        <w:adjustRightInd w:val="0"/>
        <w:ind w:right="13"/>
        <w:jc w:val="both"/>
        <w:rPr>
          <w:rFonts w:ascii="Arial" w:hAnsi="Arial" w:cs="Arial"/>
          <w:sz w:val="20"/>
          <w:szCs w:val="20"/>
        </w:rPr>
      </w:pPr>
    </w:p>
    <w:p w14:paraId="5CF99E97" w14:textId="77777777" w:rsidR="00EE4A9A" w:rsidRPr="00F67328" w:rsidRDefault="00EE4A9A" w:rsidP="00EE4A9A">
      <w:pPr>
        <w:pStyle w:val="Prrafodelista"/>
        <w:numPr>
          <w:ilvl w:val="0"/>
          <w:numId w:val="2"/>
        </w:numPr>
        <w:autoSpaceDE w:val="0"/>
        <w:autoSpaceDN w:val="0"/>
        <w:adjustRightInd w:val="0"/>
        <w:ind w:right="13"/>
        <w:jc w:val="both"/>
        <w:rPr>
          <w:rFonts w:ascii="Arial" w:hAnsi="Arial" w:cs="Arial"/>
          <w:sz w:val="20"/>
          <w:szCs w:val="20"/>
        </w:rPr>
      </w:pPr>
      <w:r w:rsidRPr="00F67328">
        <w:rPr>
          <w:rFonts w:ascii="Arial" w:hAnsi="Arial" w:cs="Arial"/>
          <w:sz w:val="20"/>
          <w:szCs w:val="20"/>
        </w:rPr>
        <w:t xml:space="preserve">Describir los esquemas mas utilizados como tratamiento de rescate en los Centros de Referencia de Latinoamérica </w:t>
      </w:r>
    </w:p>
    <w:p w14:paraId="6F45F260" w14:textId="1A8C96BD" w:rsidR="00EE4A9A" w:rsidRPr="00F67328" w:rsidRDefault="00EE4A9A" w:rsidP="00EE4A9A">
      <w:pPr>
        <w:pStyle w:val="Prrafodelista"/>
        <w:numPr>
          <w:ilvl w:val="0"/>
          <w:numId w:val="2"/>
        </w:numPr>
        <w:autoSpaceDE w:val="0"/>
        <w:autoSpaceDN w:val="0"/>
        <w:adjustRightInd w:val="0"/>
        <w:ind w:right="13"/>
        <w:jc w:val="both"/>
        <w:rPr>
          <w:rFonts w:ascii="Arial" w:hAnsi="Arial" w:cs="Arial"/>
          <w:sz w:val="20"/>
          <w:szCs w:val="20"/>
        </w:rPr>
      </w:pPr>
      <w:r w:rsidRPr="00F67328">
        <w:rPr>
          <w:rFonts w:ascii="Arial" w:hAnsi="Arial" w:cs="Arial"/>
          <w:sz w:val="20"/>
          <w:szCs w:val="20"/>
        </w:rPr>
        <w:t xml:space="preserve">Describir el acceso a nuevas Terapias </w:t>
      </w:r>
      <w:r w:rsidR="00BD1CF7" w:rsidRPr="00F67328">
        <w:rPr>
          <w:rFonts w:ascii="Arial" w:hAnsi="Arial" w:cs="Arial"/>
          <w:sz w:val="20"/>
          <w:szCs w:val="20"/>
        </w:rPr>
        <w:t>(Monoclonales</w:t>
      </w:r>
      <w:r w:rsidRPr="00F67328">
        <w:rPr>
          <w:rFonts w:ascii="Arial" w:hAnsi="Arial" w:cs="Arial"/>
          <w:sz w:val="20"/>
          <w:szCs w:val="20"/>
        </w:rPr>
        <w:t xml:space="preserve">, Anti PD1) con los que se cuenta en la región </w:t>
      </w:r>
    </w:p>
    <w:p w14:paraId="69703FD0" w14:textId="77777777" w:rsidR="00EE4A9A" w:rsidRPr="00F67328" w:rsidRDefault="00EE4A9A" w:rsidP="00EE4A9A">
      <w:pPr>
        <w:pStyle w:val="Prrafodelista"/>
        <w:numPr>
          <w:ilvl w:val="0"/>
          <w:numId w:val="2"/>
        </w:numPr>
        <w:autoSpaceDE w:val="0"/>
        <w:autoSpaceDN w:val="0"/>
        <w:adjustRightInd w:val="0"/>
        <w:ind w:right="13"/>
        <w:jc w:val="both"/>
        <w:rPr>
          <w:rFonts w:ascii="Arial" w:hAnsi="Arial" w:cs="Arial"/>
          <w:sz w:val="20"/>
          <w:szCs w:val="20"/>
        </w:rPr>
      </w:pPr>
      <w:r w:rsidRPr="00F67328">
        <w:rPr>
          <w:rFonts w:ascii="Arial" w:hAnsi="Arial" w:cs="Arial"/>
          <w:sz w:val="20"/>
          <w:szCs w:val="20"/>
        </w:rPr>
        <w:t>Describir la posibilidad de acceso a trasplante de Medula ósea como terapia de salvataje en pacientes que logran remisión completa o parcial en Latinoamérica</w:t>
      </w:r>
    </w:p>
    <w:p w14:paraId="124D00FB" w14:textId="1C6A6AFC" w:rsidR="00EE4A9A" w:rsidRPr="00F67328" w:rsidRDefault="00EE4A9A" w:rsidP="00F67328">
      <w:pPr>
        <w:pStyle w:val="NormalWeb"/>
        <w:numPr>
          <w:ilvl w:val="0"/>
          <w:numId w:val="2"/>
        </w:numPr>
        <w:spacing w:after="0" w:afterAutospacing="0"/>
        <w:jc w:val="both"/>
        <w:rPr>
          <w:rFonts w:ascii="Arial" w:hAnsi="Arial" w:cs="Arial"/>
          <w:sz w:val="20"/>
          <w:szCs w:val="20"/>
        </w:rPr>
      </w:pPr>
      <w:r w:rsidRPr="00F67328">
        <w:rPr>
          <w:rFonts w:ascii="Arial" w:hAnsi="Arial" w:cs="Arial"/>
          <w:sz w:val="20"/>
          <w:szCs w:val="20"/>
        </w:rPr>
        <w:t xml:space="preserve">Unir los datos de los centros latinoamericanos que conformamos el grupo GELL para tener </w:t>
      </w:r>
      <w:r w:rsidR="00BD1CF7" w:rsidRPr="00F67328">
        <w:rPr>
          <w:rFonts w:ascii="Arial" w:hAnsi="Arial" w:cs="Arial"/>
          <w:sz w:val="20"/>
          <w:szCs w:val="20"/>
        </w:rPr>
        <w:t>un registro</w:t>
      </w:r>
      <w:r w:rsidRPr="00F67328">
        <w:rPr>
          <w:rFonts w:ascii="Arial" w:hAnsi="Arial" w:cs="Arial"/>
          <w:sz w:val="20"/>
          <w:szCs w:val="20"/>
        </w:rPr>
        <w:t xml:space="preserve"> Latino Americano de Linfomas Hodgkin recaidos y buscar alternativas conjuntas en mejorar el acceso terapeutico</w:t>
      </w:r>
    </w:p>
    <w:p w14:paraId="2F2B5EAC" w14:textId="77777777" w:rsidR="00EE4A9A" w:rsidRPr="00F67328" w:rsidRDefault="00EE4A9A" w:rsidP="00F67328">
      <w:pPr>
        <w:pStyle w:val="NormalWeb"/>
        <w:numPr>
          <w:ilvl w:val="0"/>
          <w:numId w:val="2"/>
        </w:numPr>
        <w:spacing w:after="0" w:afterAutospacing="0"/>
        <w:jc w:val="both"/>
        <w:rPr>
          <w:rFonts w:ascii="Arial" w:hAnsi="Arial" w:cs="Arial"/>
          <w:sz w:val="20"/>
          <w:szCs w:val="20"/>
        </w:rPr>
      </w:pPr>
      <w:r w:rsidRPr="00F67328">
        <w:rPr>
          <w:rFonts w:ascii="Arial" w:hAnsi="Arial" w:cs="Arial"/>
          <w:sz w:val="20"/>
          <w:szCs w:val="20"/>
        </w:rPr>
        <w:t xml:space="preserve">Evaluar SLP y SG de pacientes con LH frecaidos en latino América. </w:t>
      </w:r>
    </w:p>
    <w:p w14:paraId="1F128039" w14:textId="77777777" w:rsidR="00EE4A9A" w:rsidRDefault="00EE4A9A" w:rsidP="00EE4A9A">
      <w:pPr>
        <w:pStyle w:val="Prrafodelista"/>
        <w:keepNext/>
        <w:widowControl w:val="0"/>
        <w:tabs>
          <w:tab w:val="left" w:pos="284"/>
        </w:tabs>
        <w:ind w:left="360"/>
        <w:jc w:val="both"/>
        <w:rPr>
          <w:rFonts w:ascii="Arial" w:hAnsi="Arial" w:cs="Arial"/>
          <w:b/>
          <w:sz w:val="20"/>
          <w:szCs w:val="20"/>
        </w:rPr>
      </w:pPr>
    </w:p>
    <w:p w14:paraId="2DDBBCE2" w14:textId="4AA46063" w:rsidR="00EE4A9A" w:rsidRPr="00490588" w:rsidRDefault="00EE4A9A" w:rsidP="00EE4A9A">
      <w:pPr>
        <w:pStyle w:val="Prrafodelista"/>
        <w:keepNext/>
        <w:widowControl w:val="0"/>
        <w:tabs>
          <w:tab w:val="left" w:pos="284"/>
        </w:tabs>
        <w:ind w:left="360"/>
        <w:jc w:val="both"/>
        <w:rPr>
          <w:rFonts w:ascii="Arial" w:hAnsi="Arial" w:cs="Arial"/>
          <w:b/>
          <w:sz w:val="20"/>
          <w:szCs w:val="20"/>
        </w:rPr>
      </w:pPr>
      <w:r w:rsidRPr="00490588">
        <w:rPr>
          <w:rFonts w:ascii="Arial" w:hAnsi="Arial" w:cs="Arial"/>
          <w:b/>
          <w:sz w:val="20"/>
          <w:szCs w:val="20"/>
        </w:rPr>
        <w:t>METODOLOGÍA</w:t>
      </w:r>
    </w:p>
    <w:p w14:paraId="69136CD1" w14:textId="77777777" w:rsidR="00EE4A9A" w:rsidRPr="00EE4A9A" w:rsidRDefault="00EE4A9A" w:rsidP="00EE4A9A">
      <w:pPr>
        <w:keepNext/>
        <w:widowControl w:val="0"/>
        <w:tabs>
          <w:tab w:val="left" w:pos="284"/>
        </w:tabs>
        <w:jc w:val="both"/>
        <w:rPr>
          <w:rFonts w:ascii="Arial" w:hAnsi="Arial" w:cs="Arial"/>
          <w:sz w:val="20"/>
          <w:szCs w:val="20"/>
        </w:rPr>
      </w:pPr>
    </w:p>
    <w:p w14:paraId="294279AD" w14:textId="77777777" w:rsidR="00EE4A9A" w:rsidRPr="00490588" w:rsidRDefault="00EE4A9A" w:rsidP="00EE4A9A">
      <w:pPr>
        <w:pStyle w:val="Prrafodelista"/>
        <w:ind w:left="360" w:right="13"/>
        <w:jc w:val="both"/>
        <w:rPr>
          <w:rFonts w:ascii="Arial" w:hAnsi="Arial" w:cs="Arial"/>
          <w:b/>
          <w:bCs/>
          <w:sz w:val="20"/>
          <w:szCs w:val="20"/>
          <w:lang w:val="es-ES"/>
        </w:rPr>
      </w:pPr>
      <w:r w:rsidRPr="00490588">
        <w:rPr>
          <w:rFonts w:ascii="Arial" w:hAnsi="Arial" w:cs="Arial"/>
          <w:b/>
          <w:bCs/>
          <w:sz w:val="20"/>
          <w:szCs w:val="20"/>
        </w:rPr>
        <w:t xml:space="preserve">Diseño del estudio: </w:t>
      </w:r>
    </w:p>
    <w:p w14:paraId="76429CF7" w14:textId="77777777" w:rsidR="00EE4A9A" w:rsidRPr="00490588" w:rsidRDefault="00EE4A9A" w:rsidP="00EE4A9A">
      <w:pPr>
        <w:pStyle w:val="Prrafodelista"/>
        <w:ind w:left="360" w:right="13"/>
        <w:jc w:val="both"/>
        <w:rPr>
          <w:rFonts w:ascii="Arial" w:hAnsi="Arial" w:cs="Arial"/>
          <w:sz w:val="20"/>
          <w:szCs w:val="20"/>
          <w:lang w:val="es-ES"/>
        </w:rPr>
      </w:pPr>
    </w:p>
    <w:p w14:paraId="748C95A1" w14:textId="48F7F662" w:rsidR="00EE4A9A" w:rsidRPr="00151DEB" w:rsidRDefault="00EE4A9A" w:rsidP="00EE4A9A">
      <w:pPr>
        <w:pStyle w:val="Prrafodelista"/>
        <w:ind w:left="360" w:right="13"/>
        <w:jc w:val="both"/>
        <w:rPr>
          <w:rFonts w:ascii="Arial" w:hAnsi="Arial" w:cs="Arial"/>
          <w:sz w:val="20"/>
          <w:szCs w:val="20"/>
        </w:rPr>
      </w:pPr>
      <w:r>
        <w:rPr>
          <w:rFonts w:ascii="Arial" w:hAnsi="Arial" w:cs="Arial"/>
          <w:sz w:val="20"/>
          <w:szCs w:val="20"/>
          <w:lang w:val="es-ES"/>
        </w:rPr>
        <w:t xml:space="preserve">Estudio de Cohorte </w:t>
      </w:r>
      <w:r w:rsidR="00F67328">
        <w:rPr>
          <w:rFonts w:ascii="Arial" w:hAnsi="Arial" w:cs="Arial"/>
          <w:sz w:val="20"/>
          <w:szCs w:val="20"/>
          <w:lang w:val="es-ES"/>
        </w:rPr>
        <w:t>transversal analítico</w:t>
      </w:r>
    </w:p>
    <w:p w14:paraId="36BD4BF8" w14:textId="77777777" w:rsidR="00EE4A9A" w:rsidRPr="00EE4A9A" w:rsidRDefault="00EE4A9A" w:rsidP="00EE4A9A">
      <w:pPr>
        <w:ind w:right="13"/>
        <w:jc w:val="both"/>
        <w:rPr>
          <w:rFonts w:ascii="Arial" w:hAnsi="Arial" w:cs="Arial"/>
          <w:bCs/>
          <w:sz w:val="20"/>
          <w:szCs w:val="20"/>
        </w:rPr>
      </w:pPr>
    </w:p>
    <w:p w14:paraId="17183958" w14:textId="70DF3EEB" w:rsidR="00EE4A9A" w:rsidRDefault="00EE4A9A" w:rsidP="00F67328">
      <w:pPr>
        <w:pStyle w:val="Default"/>
        <w:jc w:val="both"/>
        <w:rPr>
          <w:sz w:val="20"/>
          <w:szCs w:val="20"/>
        </w:rPr>
      </w:pPr>
      <w:r>
        <w:rPr>
          <w:b/>
          <w:bCs/>
          <w:sz w:val="20"/>
          <w:szCs w:val="20"/>
        </w:rPr>
        <w:t xml:space="preserve">Población de estudio: </w:t>
      </w:r>
      <w:r>
        <w:rPr>
          <w:sz w:val="20"/>
          <w:szCs w:val="20"/>
        </w:rPr>
        <w:t xml:space="preserve">Pacientes consecutivos con diagnóstico de Linfoma de Hodgkin valorados por los Servicios de Referencia en Hematología de </w:t>
      </w:r>
      <w:r w:rsidR="00F67328">
        <w:rPr>
          <w:sz w:val="20"/>
          <w:szCs w:val="20"/>
        </w:rPr>
        <w:t>Latinoamérica</w:t>
      </w:r>
      <w:r>
        <w:rPr>
          <w:sz w:val="20"/>
          <w:szCs w:val="20"/>
        </w:rPr>
        <w:t xml:space="preserve"> durante el periodo comprendido entre enero de 2010 y diciembre de 2020. </w:t>
      </w:r>
    </w:p>
    <w:p w14:paraId="175CAD0D" w14:textId="77777777" w:rsidR="00EE4A9A" w:rsidRDefault="00EE4A9A" w:rsidP="00EE4A9A">
      <w:pPr>
        <w:pStyle w:val="Default"/>
        <w:rPr>
          <w:b/>
          <w:bCs/>
          <w:sz w:val="20"/>
          <w:szCs w:val="20"/>
        </w:rPr>
      </w:pPr>
    </w:p>
    <w:p w14:paraId="59679B85" w14:textId="77777777" w:rsidR="00EE4A9A" w:rsidRDefault="00EE4A9A" w:rsidP="00EE4A9A">
      <w:pPr>
        <w:pStyle w:val="Default"/>
        <w:rPr>
          <w:sz w:val="20"/>
          <w:szCs w:val="20"/>
        </w:rPr>
      </w:pPr>
      <w:r>
        <w:rPr>
          <w:b/>
          <w:bCs/>
          <w:sz w:val="20"/>
          <w:szCs w:val="20"/>
        </w:rPr>
        <w:t xml:space="preserve">Criterios de selección: </w:t>
      </w:r>
    </w:p>
    <w:p w14:paraId="76C62850" w14:textId="77777777" w:rsidR="00EE4A9A" w:rsidRDefault="00EE4A9A" w:rsidP="00EE4A9A">
      <w:pPr>
        <w:pStyle w:val="Default"/>
        <w:rPr>
          <w:b/>
          <w:bCs/>
          <w:sz w:val="20"/>
          <w:szCs w:val="20"/>
        </w:rPr>
      </w:pPr>
    </w:p>
    <w:p w14:paraId="2B056D97" w14:textId="77777777" w:rsidR="00EE4A9A" w:rsidRDefault="00EE4A9A" w:rsidP="00EE4A9A">
      <w:pPr>
        <w:pStyle w:val="Default"/>
        <w:rPr>
          <w:sz w:val="20"/>
          <w:szCs w:val="20"/>
        </w:rPr>
      </w:pPr>
      <w:r>
        <w:rPr>
          <w:b/>
          <w:bCs/>
          <w:sz w:val="20"/>
          <w:szCs w:val="20"/>
        </w:rPr>
        <w:t xml:space="preserve">Criterios de inclusión </w:t>
      </w:r>
    </w:p>
    <w:p w14:paraId="0A49FC52" w14:textId="77777777" w:rsidR="00EE4A9A" w:rsidRDefault="00EE4A9A" w:rsidP="00EE4A9A">
      <w:pPr>
        <w:pStyle w:val="Default"/>
        <w:numPr>
          <w:ilvl w:val="0"/>
          <w:numId w:val="1"/>
        </w:numPr>
        <w:spacing w:after="31"/>
        <w:rPr>
          <w:sz w:val="20"/>
          <w:szCs w:val="20"/>
        </w:rPr>
      </w:pPr>
      <w:r>
        <w:rPr>
          <w:sz w:val="20"/>
          <w:szCs w:val="20"/>
        </w:rPr>
        <w:t xml:space="preserve">Pacientes mayores de 18 años de edad </w:t>
      </w:r>
    </w:p>
    <w:p w14:paraId="53618DAF" w14:textId="1023EC38" w:rsidR="00EE4A9A" w:rsidRDefault="00EE4A9A" w:rsidP="00EE4A9A">
      <w:pPr>
        <w:pStyle w:val="Default"/>
        <w:numPr>
          <w:ilvl w:val="0"/>
          <w:numId w:val="1"/>
        </w:numPr>
        <w:spacing w:after="31"/>
        <w:rPr>
          <w:sz w:val="20"/>
          <w:szCs w:val="20"/>
        </w:rPr>
      </w:pPr>
      <w:r>
        <w:rPr>
          <w:sz w:val="20"/>
          <w:szCs w:val="20"/>
        </w:rPr>
        <w:t xml:space="preserve">Diagnóstico histopatológico de Linfoma de Hodgkin </w:t>
      </w:r>
      <w:r w:rsidR="00F67328">
        <w:rPr>
          <w:sz w:val="20"/>
          <w:szCs w:val="20"/>
        </w:rPr>
        <w:t xml:space="preserve">clásico </w:t>
      </w:r>
      <w:r>
        <w:rPr>
          <w:sz w:val="20"/>
          <w:szCs w:val="20"/>
        </w:rPr>
        <w:t xml:space="preserve">con confirmación por el grupo de patología institucional (en cualquier momento: al diagnóstico o a la recaída) </w:t>
      </w:r>
    </w:p>
    <w:p w14:paraId="60855FBE" w14:textId="77777777" w:rsidR="00EE4A9A" w:rsidRDefault="00EE4A9A" w:rsidP="00EE4A9A">
      <w:pPr>
        <w:pStyle w:val="Default"/>
        <w:numPr>
          <w:ilvl w:val="0"/>
          <w:numId w:val="1"/>
        </w:numPr>
        <w:spacing w:after="31"/>
        <w:rPr>
          <w:sz w:val="20"/>
          <w:szCs w:val="20"/>
        </w:rPr>
      </w:pPr>
      <w:r>
        <w:rPr>
          <w:sz w:val="20"/>
          <w:szCs w:val="20"/>
        </w:rPr>
        <w:t xml:space="preserve">Recaídos desde la respuesta completa (CR) o respuesta parcial (PR) o refractarios con un esquema de tratamiento basados en antracíclicos. </w:t>
      </w:r>
    </w:p>
    <w:p w14:paraId="77B6EECF" w14:textId="3A24A761" w:rsidR="00EE4A9A" w:rsidRDefault="00EE4A9A" w:rsidP="00EE4A9A">
      <w:pPr>
        <w:pStyle w:val="Default"/>
        <w:numPr>
          <w:ilvl w:val="0"/>
          <w:numId w:val="1"/>
        </w:numPr>
        <w:spacing w:after="31"/>
        <w:rPr>
          <w:sz w:val="20"/>
          <w:szCs w:val="20"/>
        </w:rPr>
      </w:pPr>
      <w:r>
        <w:rPr>
          <w:sz w:val="20"/>
          <w:szCs w:val="20"/>
        </w:rPr>
        <w:t xml:space="preserve">Haber recibido el primer esquema de rescate en la institución </w:t>
      </w:r>
      <w:r w:rsidR="00BD1CF7">
        <w:rPr>
          <w:sz w:val="20"/>
          <w:szCs w:val="20"/>
        </w:rPr>
        <w:t xml:space="preserve">que reporta </w:t>
      </w:r>
    </w:p>
    <w:p w14:paraId="3FF485E4" w14:textId="77777777" w:rsidR="00EE4A9A" w:rsidRDefault="00EE4A9A" w:rsidP="00EE4A9A">
      <w:pPr>
        <w:pStyle w:val="Default"/>
        <w:numPr>
          <w:ilvl w:val="0"/>
          <w:numId w:val="1"/>
        </w:numPr>
        <w:rPr>
          <w:sz w:val="20"/>
          <w:szCs w:val="20"/>
        </w:rPr>
      </w:pPr>
      <w:r>
        <w:rPr>
          <w:sz w:val="20"/>
          <w:szCs w:val="20"/>
        </w:rPr>
        <w:t xml:space="preserve">Información del seguimiento disponible en la historia clínica </w:t>
      </w:r>
    </w:p>
    <w:p w14:paraId="22C15E10" w14:textId="77777777" w:rsidR="00EE4A9A" w:rsidRDefault="00EE4A9A" w:rsidP="00EE4A9A">
      <w:pPr>
        <w:pStyle w:val="Default"/>
        <w:rPr>
          <w:sz w:val="20"/>
          <w:szCs w:val="20"/>
        </w:rPr>
      </w:pPr>
    </w:p>
    <w:p w14:paraId="6F42444E" w14:textId="77777777" w:rsidR="00EE4A9A" w:rsidRDefault="00EE4A9A" w:rsidP="00EE4A9A">
      <w:pPr>
        <w:pStyle w:val="Default"/>
        <w:rPr>
          <w:sz w:val="20"/>
          <w:szCs w:val="20"/>
        </w:rPr>
      </w:pPr>
      <w:r>
        <w:rPr>
          <w:b/>
          <w:bCs/>
          <w:sz w:val="20"/>
          <w:szCs w:val="20"/>
        </w:rPr>
        <w:t xml:space="preserve">Criterios de exclusión </w:t>
      </w:r>
    </w:p>
    <w:p w14:paraId="5C4362E3" w14:textId="77777777" w:rsidR="00EE4A9A" w:rsidRDefault="00EE4A9A" w:rsidP="00EE4A9A">
      <w:pPr>
        <w:ind w:right="13"/>
        <w:jc w:val="both"/>
        <w:rPr>
          <w:sz w:val="20"/>
          <w:szCs w:val="20"/>
        </w:rPr>
      </w:pPr>
    </w:p>
    <w:p w14:paraId="203596BA" w14:textId="77777777" w:rsidR="00EE4A9A" w:rsidRPr="004662BE" w:rsidRDefault="00EE4A9A" w:rsidP="00EE4A9A">
      <w:pPr>
        <w:ind w:right="13"/>
        <w:jc w:val="both"/>
        <w:rPr>
          <w:rFonts w:ascii="Arial" w:hAnsi="Arial" w:cs="Arial"/>
          <w:color w:val="000000"/>
          <w:sz w:val="20"/>
          <w:szCs w:val="20"/>
          <w:lang w:val="es-ES"/>
        </w:rPr>
      </w:pPr>
      <w:r w:rsidRPr="00C44A59">
        <w:rPr>
          <w:rFonts w:ascii="Arial" w:hAnsi="Arial" w:cs="Arial"/>
          <w:color w:val="000000"/>
          <w:sz w:val="20"/>
          <w:szCs w:val="20"/>
          <w:lang w:val="es-ES"/>
        </w:rPr>
        <w:t xml:space="preserve">Pacientes con diagnóstico de otra neoplasia hematológica en forma concomitante con el Linfoma de Hodgkin o que tras revisión del material de patología se haya modificado este diagnóstico.  </w:t>
      </w:r>
    </w:p>
    <w:p w14:paraId="42E42580" w14:textId="77777777" w:rsidR="00EE4A9A" w:rsidRPr="004662BE" w:rsidRDefault="00EE4A9A" w:rsidP="00EE4A9A">
      <w:pPr>
        <w:autoSpaceDE w:val="0"/>
        <w:autoSpaceDN w:val="0"/>
        <w:adjustRightInd w:val="0"/>
        <w:ind w:left="360" w:right="13"/>
        <w:jc w:val="both"/>
        <w:rPr>
          <w:rFonts w:ascii="Arial" w:hAnsi="Arial" w:cs="Arial"/>
          <w:sz w:val="20"/>
          <w:szCs w:val="20"/>
        </w:rPr>
      </w:pPr>
    </w:p>
    <w:p w14:paraId="457F87BA" w14:textId="77777777" w:rsidR="00EE4A9A" w:rsidRPr="00BD1CF7" w:rsidRDefault="00EE4A9A" w:rsidP="00EE4A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000000"/>
          <w:sz w:val="20"/>
          <w:szCs w:val="20"/>
          <w:u w:val="single"/>
          <w:shd w:val="clear" w:color="auto" w:fill="FFFFFF"/>
          <w:lang w:val="es-AR"/>
        </w:rPr>
      </w:pPr>
      <w:r w:rsidRPr="00BD1CF7">
        <w:rPr>
          <w:rFonts w:ascii="Arial" w:hAnsi="Arial" w:cs="Arial"/>
          <w:b/>
          <w:color w:val="000000"/>
          <w:sz w:val="20"/>
          <w:szCs w:val="20"/>
          <w:u w:val="single"/>
          <w:shd w:val="clear" w:color="auto" w:fill="FFFFFF"/>
          <w:lang w:val="es-AR"/>
        </w:rPr>
        <w:t>Procedimiento</w:t>
      </w:r>
    </w:p>
    <w:p w14:paraId="4886B772" w14:textId="77777777" w:rsidR="00EE4A9A" w:rsidRPr="00BD1CF7" w:rsidRDefault="00EE4A9A" w:rsidP="00EE4A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0"/>
          <w:szCs w:val="20"/>
          <w:u w:val="single"/>
          <w:shd w:val="clear" w:color="auto" w:fill="FFFFFF"/>
          <w:lang w:val="es-AR"/>
        </w:rPr>
      </w:pPr>
    </w:p>
    <w:p w14:paraId="5867B93B" w14:textId="23D04ADE" w:rsidR="00EE4A9A" w:rsidRDefault="00EE4A9A" w:rsidP="00EE4A9A">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0"/>
          <w:szCs w:val="20"/>
          <w:shd w:val="clear" w:color="auto" w:fill="FFFFFF"/>
          <w:lang w:val="es-AR"/>
        </w:rPr>
      </w:pPr>
      <w:r w:rsidRPr="00BD1CF7">
        <w:rPr>
          <w:rFonts w:ascii="Arial" w:hAnsi="Arial" w:cs="Arial"/>
          <w:color w:val="000000"/>
          <w:sz w:val="20"/>
          <w:szCs w:val="20"/>
          <w:shd w:val="clear" w:color="auto" w:fill="FFFFFF"/>
          <w:lang w:val="es-AR"/>
        </w:rPr>
        <w:t>La data epidemiológica será recolectada por cada investigador participante y responsable de cada país de forma individual, en una hoja de</w:t>
      </w:r>
      <w:r w:rsidR="00BD1CF7">
        <w:rPr>
          <w:rFonts w:ascii="Arial" w:hAnsi="Arial" w:cs="Arial"/>
          <w:color w:val="000000"/>
          <w:sz w:val="20"/>
          <w:szCs w:val="20"/>
          <w:shd w:val="clear" w:color="auto" w:fill="FFFFFF"/>
          <w:lang w:val="es-AR"/>
        </w:rPr>
        <w:t xml:space="preserve"> Excel</w:t>
      </w:r>
      <w:r w:rsidRPr="00BD1CF7">
        <w:rPr>
          <w:rFonts w:ascii="Arial" w:hAnsi="Arial" w:cs="Arial"/>
          <w:color w:val="000000"/>
          <w:sz w:val="20"/>
          <w:szCs w:val="20"/>
          <w:shd w:val="clear" w:color="auto" w:fill="FFFFFF"/>
          <w:lang w:val="es-AR"/>
        </w:rPr>
        <w:t xml:space="preserve"> </w:t>
      </w:r>
      <w:r w:rsidR="00BD1CF7">
        <w:rPr>
          <w:rFonts w:ascii="Arial" w:hAnsi="Arial" w:cs="Arial"/>
          <w:color w:val="000000"/>
          <w:sz w:val="20"/>
          <w:szCs w:val="20"/>
          <w:shd w:val="clear" w:color="auto" w:fill="FFFFFF"/>
          <w:lang w:val="es-AR"/>
        </w:rPr>
        <w:t xml:space="preserve">que se anexa. La monitoría de los datos es responsabilidad de cada institución. </w:t>
      </w:r>
    </w:p>
    <w:p w14:paraId="73A0B1F4" w14:textId="77777777" w:rsidR="00BD1CF7" w:rsidRPr="00BD1CF7" w:rsidRDefault="00BD1CF7" w:rsidP="00BD1CF7">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0"/>
          <w:szCs w:val="20"/>
          <w:shd w:val="clear" w:color="auto" w:fill="FFFFFF"/>
          <w:lang w:val="es-AR"/>
        </w:rPr>
      </w:pPr>
    </w:p>
    <w:p w14:paraId="1E39E693" w14:textId="70FCC4F1" w:rsidR="00EE4A9A" w:rsidRPr="00BD1CF7" w:rsidRDefault="00EE4A9A" w:rsidP="00EE4A9A">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0"/>
          <w:szCs w:val="20"/>
          <w:shd w:val="clear" w:color="auto" w:fill="FFFFFF"/>
          <w:lang w:val="es-AR"/>
        </w:rPr>
      </w:pPr>
      <w:r w:rsidRPr="00BD1CF7">
        <w:rPr>
          <w:rFonts w:ascii="Arial" w:hAnsi="Arial" w:cs="Arial"/>
          <w:color w:val="000000"/>
          <w:sz w:val="20"/>
          <w:szCs w:val="20"/>
          <w:shd w:val="clear" w:color="auto" w:fill="FFFFFF"/>
          <w:lang w:val="es-AR"/>
        </w:rPr>
        <w:t>La data posteriormente se unificará para ejecutar la evaluación</w:t>
      </w:r>
      <w:r w:rsidR="00BD1CF7">
        <w:rPr>
          <w:rFonts w:ascii="Arial" w:hAnsi="Arial" w:cs="Arial"/>
          <w:color w:val="000000"/>
          <w:sz w:val="20"/>
          <w:szCs w:val="20"/>
          <w:shd w:val="clear" w:color="auto" w:fill="FFFFFF"/>
          <w:lang w:val="es-AR"/>
        </w:rPr>
        <w:t xml:space="preserve"> epidemiológica y</w:t>
      </w:r>
      <w:r w:rsidRPr="00BD1CF7">
        <w:rPr>
          <w:rFonts w:ascii="Arial" w:hAnsi="Arial" w:cs="Arial"/>
          <w:color w:val="000000"/>
          <w:sz w:val="20"/>
          <w:szCs w:val="20"/>
          <w:shd w:val="clear" w:color="auto" w:fill="FFFFFF"/>
          <w:lang w:val="es-AR"/>
        </w:rPr>
        <w:t xml:space="preserve"> estadística </w:t>
      </w:r>
      <w:r w:rsidR="00BD1CF7">
        <w:rPr>
          <w:rFonts w:ascii="Arial" w:hAnsi="Arial" w:cs="Arial"/>
          <w:color w:val="000000"/>
          <w:sz w:val="20"/>
          <w:szCs w:val="20"/>
          <w:shd w:val="clear" w:color="auto" w:fill="FFFFFF"/>
          <w:lang w:val="es-AR"/>
        </w:rPr>
        <w:t>por el grupo de investigadores.</w:t>
      </w:r>
    </w:p>
    <w:p w14:paraId="4A18ABC7" w14:textId="77777777" w:rsidR="00EE4A9A" w:rsidRPr="00BD1CF7" w:rsidRDefault="00EE4A9A" w:rsidP="00EE4A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0"/>
          <w:szCs w:val="20"/>
          <w:shd w:val="clear" w:color="auto" w:fill="FFFFFF"/>
          <w:lang w:val="es-AR"/>
        </w:rPr>
      </w:pPr>
    </w:p>
    <w:p w14:paraId="493E976F" w14:textId="2DDE64D8" w:rsidR="00EE4A9A" w:rsidRDefault="00EE4A9A" w:rsidP="008B6C6C">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0"/>
          <w:szCs w:val="20"/>
          <w:shd w:val="clear" w:color="auto" w:fill="FFFFFF"/>
          <w:lang w:val="es-AR"/>
        </w:rPr>
      </w:pPr>
      <w:r w:rsidRPr="00BD1CF7">
        <w:rPr>
          <w:rFonts w:ascii="Arial" w:hAnsi="Arial" w:cs="Arial"/>
          <w:color w:val="000000"/>
          <w:sz w:val="20"/>
          <w:szCs w:val="20"/>
          <w:shd w:val="clear" w:color="auto" w:fill="FFFFFF"/>
          <w:lang w:val="es-AR"/>
        </w:rPr>
        <w:t xml:space="preserve">Análisis de los datos y conclusiones serán ejecutados con la intención de </w:t>
      </w:r>
      <w:r w:rsidR="00BD1CF7" w:rsidRPr="00BD1CF7">
        <w:rPr>
          <w:rFonts w:ascii="Arial" w:hAnsi="Arial" w:cs="Arial"/>
          <w:color w:val="000000"/>
          <w:sz w:val="20"/>
          <w:szCs w:val="20"/>
          <w:shd w:val="clear" w:color="auto" w:fill="FFFFFF"/>
          <w:lang w:val="es-AR"/>
        </w:rPr>
        <w:t>publicación</w:t>
      </w:r>
      <w:r w:rsidRPr="00BD1CF7">
        <w:rPr>
          <w:rFonts w:ascii="Arial" w:hAnsi="Arial" w:cs="Arial"/>
          <w:color w:val="000000"/>
          <w:sz w:val="20"/>
          <w:szCs w:val="20"/>
          <w:shd w:val="clear" w:color="auto" w:fill="FFFFFF"/>
          <w:lang w:val="es-AR"/>
        </w:rPr>
        <w:t xml:space="preserve"> </w:t>
      </w:r>
      <w:r w:rsidR="00BD1CF7">
        <w:rPr>
          <w:rFonts w:ascii="Arial" w:hAnsi="Arial" w:cs="Arial"/>
          <w:color w:val="000000"/>
          <w:sz w:val="20"/>
          <w:szCs w:val="20"/>
          <w:shd w:val="clear" w:color="auto" w:fill="FFFFFF"/>
          <w:lang w:val="es-AR"/>
        </w:rPr>
        <w:t>en una revista indizada.</w:t>
      </w:r>
    </w:p>
    <w:p w14:paraId="41A59D6E" w14:textId="77777777" w:rsidR="00BD1CF7" w:rsidRPr="00BD1CF7" w:rsidRDefault="00BD1CF7" w:rsidP="00BD1C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0"/>
          <w:szCs w:val="20"/>
          <w:shd w:val="clear" w:color="auto" w:fill="FFFFFF"/>
          <w:lang w:val="es-AR"/>
        </w:rPr>
      </w:pPr>
    </w:p>
    <w:p w14:paraId="014465B4" w14:textId="2EB78CA9" w:rsidR="00EE4A9A" w:rsidRPr="00BD1CF7" w:rsidRDefault="00EE4A9A" w:rsidP="00EE4A9A">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0"/>
          <w:szCs w:val="20"/>
          <w:shd w:val="clear" w:color="auto" w:fill="FFFFFF"/>
          <w:lang w:val="es-AR"/>
        </w:rPr>
      </w:pPr>
      <w:r w:rsidRPr="00BD1CF7">
        <w:rPr>
          <w:rFonts w:ascii="Arial" w:hAnsi="Arial" w:cs="Arial"/>
          <w:color w:val="000000"/>
          <w:sz w:val="20"/>
          <w:szCs w:val="20"/>
          <w:shd w:val="clear" w:color="auto" w:fill="FFFFFF"/>
          <w:lang w:val="es-AR"/>
        </w:rPr>
        <w:t xml:space="preserve">Todos los participantes formaran parte de la publicación final. El rol de los autores se organizará </w:t>
      </w:r>
      <w:r w:rsidR="00BD1CF7" w:rsidRPr="00BD1CF7">
        <w:rPr>
          <w:rFonts w:ascii="Arial" w:hAnsi="Arial" w:cs="Arial"/>
          <w:color w:val="000000"/>
          <w:sz w:val="20"/>
          <w:szCs w:val="20"/>
          <w:shd w:val="clear" w:color="auto" w:fill="FFFFFF"/>
          <w:lang w:val="es-AR"/>
        </w:rPr>
        <w:t>de acuerdo con el</w:t>
      </w:r>
      <w:r w:rsidRPr="00BD1CF7">
        <w:rPr>
          <w:rFonts w:ascii="Arial" w:hAnsi="Arial" w:cs="Arial"/>
          <w:color w:val="000000"/>
          <w:sz w:val="20"/>
          <w:szCs w:val="20"/>
          <w:shd w:val="clear" w:color="auto" w:fill="FFFFFF"/>
          <w:lang w:val="es-AR"/>
        </w:rPr>
        <w:t xml:space="preserve"> margen de contribución en términos de casos de forma individual</w:t>
      </w:r>
      <w:r w:rsidR="00BD1CF7">
        <w:rPr>
          <w:rFonts w:ascii="Arial" w:hAnsi="Arial" w:cs="Arial"/>
          <w:color w:val="000000"/>
          <w:sz w:val="20"/>
          <w:szCs w:val="20"/>
          <w:shd w:val="clear" w:color="auto" w:fill="FFFFFF"/>
          <w:lang w:val="es-AR"/>
        </w:rPr>
        <w:t xml:space="preserve"> después del IP y de los coinvestigadores operativos</w:t>
      </w:r>
      <w:r w:rsidRPr="00BD1CF7">
        <w:rPr>
          <w:rFonts w:ascii="Arial" w:hAnsi="Arial" w:cs="Arial"/>
          <w:color w:val="000000"/>
          <w:sz w:val="20"/>
          <w:szCs w:val="20"/>
          <w:shd w:val="clear" w:color="auto" w:fill="FFFFFF"/>
          <w:lang w:val="es-AR"/>
        </w:rPr>
        <w:t xml:space="preserve">. </w:t>
      </w:r>
    </w:p>
    <w:p w14:paraId="37FE5ED7" w14:textId="77777777" w:rsidR="00EE4A9A" w:rsidRPr="00BD1CF7" w:rsidRDefault="00EE4A9A" w:rsidP="00EE4A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0"/>
          <w:szCs w:val="20"/>
          <w:shd w:val="clear" w:color="auto" w:fill="FFFFFF"/>
          <w:lang w:val="es-AR"/>
        </w:rPr>
      </w:pPr>
    </w:p>
    <w:p w14:paraId="34893DA4" w14:textId="145A2D84" w:rsidR="00EE4A9A" w:rsidRPr="00BD1CF7" w:rsidRDefault="00EE4A9A" w:rsidP="00EE4A9A">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0"/>
          <w:szCs w:val="20"/>
          <w:shd w:val="clear" w:color="auto" w:fill="FFFFFF"/>
          <w:lang w:val="es-AR"/>
        </w:rPr>
      </w:pPr>
      <w:r w:rsidRPr="00BD1CF7">
        <w:rPr>
          <w:rFonts w:ascii="Arial" w:hAnsi="Arial" w:cs="Arial"/>
          <w:color w:val="000000"/>
          <w:sz w:val="20"/>
          <w:szCs w:val="20"/>
          <w:shd w:val="clear" w:color="auto" w:fill="FFFFFF"/>
          <w:lang w:val="es-AR"/>
        </w:rPr>
        <w:t>La información recolectada será únicamente utilizada para fines académicos y quedará bajo confidencialidad del grupo, pudiendo acceder a ella únicamente aquellos involucrados en este proyecto o a quienes ellos autoricen</w:t>
      </w:r>
      <w:r w:rsidR="00BD1CF7">
        <w:rPr>
          <w:rFonts w:ascii="Arial" w:hAnsi="Arial" w:cs="Arial"/>
          <w:color w:val="000000"/>
          <w:sz w:val="20"/>
          <w:szCs w:val="20"/>
          <w:shd w:val="clear" w:color="auto" w:fill="FFFFFF"/>
          <w:lang w:val="es-AR"/>
        </w:rPr>
        <w:t xml:space="preserve"> pudiendo usarse para futuros proyectos con IP diferentes si así fuera el caso</w:t>
      </w:r>
      <w:r w:rsidRPr="00BD1CF7">
        <w:rPr>
          <w:rFonts w:ascii="Arial" w:hAnsi="Arial" w:cs="Arial"/>
          <w:color w:val="000000"/>
          <w:sz w:val="20"/>
          <w:szCs w:val="20"/>
          <w:shd w:val="clear" w:color="auto" w:fill="FFFFFF"/>
          <w:lang w:val="es-AR"/>
        </w:rPr>
        <w:t>.</w:t>
      </w:r>
    </w:p>
    <w:p w14:paraId="100E9239" w14:textId="77777777" w:rsidR="00EE4A9A" w:rsidRPr="00BD1CF7" w:rsidRDefault="00EE4A9A" w:rsidP="00EE4A9A">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0"/>
          <w:szCs w:val="20"/>
          <w:shd w:val="clear" w:color="auto" w:fill="FFFFFF"/>
          <w:lang w:val="es-AR"/>
        </w:rPr>
      </w:pPr>
    </w:p>
    <w:p w14:paraId="1A0C5FCA" w14:textId="55407BC0" w:rsidR="00EE4A9A" w:rsidRPr="00BD1CF7" w:rsidRDefault="00EE4A9A" w:rsidP="00EE4A9A">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0"/>
          <w:szCs w:val="20"/>
          <w:shd w:val="clear" w:color="auto" w:fill="FFFFFF"/>
          <w:lang w:val="es-AR"/>
        </w:rPr>
      </w:pPr>
      <w:r w:rsidRPr="00BD1CF7">
        <w:rPr>
          <w:rFonts w:ascii="Arial" w:hAnsi="Arial" w:cs="Arial"/>
          <w:color w:val="0D0D0D" w:themeColor="text1" w:themeTint="F2"/>
          <w:sz w:val="20"/>
          <w:szCs w:val="20"/>
          <w:shd w:val="clear" w:color="auto" w:fill="FFFFFF"/>
          <w:lang w:val="es-AR"/>
        </w:rPr>
        <w:t xml:space="preserve">Este protocolo no debe ser usado, divulgado, publicado ni de cualquier forma difundido sin la autorización. </w:t>
      </w:r>
      <w:r w:rsidR="00BD1CF7">
        <w:rPr>
          <w:rFonts w:ascii="Arial" w:hAnsi="Arial" w:cs="Arial"/>
          <w:color w:val="0D0D0D" w:themeColor="text1" w:themeTint="F2"/>
          <w:sz w:val="20"/>
          <w:szCs w:val="20"/>
          <w:shd w:val="clear" w:color="auto" w:fill="FFFFFF"/>
          <w:lang w:val="es-AR"/>
        </w:rPr>
        <w:t xml:space="preserve">Confidencialidad. </w:t>
      </w:r>
    </w:p>
    <w:p w14:paraId="67C37C02" w14:textId="77777777" w:rsidR="00EE4A9A" w:rsidRPr="00BD1CF7" w:rsidRDefault="00EE4A9A" w:rsidP="00EE4A9A">
      <w:pPr>
        <w:pStyle w:val="Prrafodelista"/>
        <w:autoSpaceDE w:val="0"/>
        <w:autoSpaceDN w:val="0"/>
        <w:adjustRightInd w:val="0"/>
        <w:ind w:right="13"/>
        <w:jc w:val="both"/>
        <w:rPr>
          <w:rFonts w:ascii="Arial" w:hAnsi="Arial" w:cs="Arial"/>
          <w:sz w:val="20"/>
          <w:szCs w:val="20"/>
          <w:lang w:val="es-AR"/>
        </w:rPr>
      </w:pPr>
    </w:p>
    <w:p w14:paraId="51793856" w14:textId="77777777" w:rsidR="00EE4A9A" w:rsidRPr="00490588" w:rsidRDefault="00EE4A9A" w:rsidP="00EE4A9A">
      <w:pPr>
        <w:autoSpaceDE w:val="0"/>
        <w:autoSpaceDN w:val="0"/>
        <w:adjustRightInd w:val="0"/>
        <w:ind w:right="13"/>
        <w:jc w:val="both"/>
        <w:rPr>
          <w:rFonts w:ascii="Arial" w:hAnsi="Arial" w:cs="Arial"/>
          <w:sz w:val="20"/>
          <w:szCs w:val="20"/>
        </w:rPr>
      </w:pPr>
    </w:p>
    <w:sdt>
      <w:sdtPr>
        <w:rPr>
          <w:rStyle w:val="Estilo1"/>
          <w:rFonts w:cs="Arial"/>
          <w:b/>
          <w:color w:val="000000" w:themeColor="text1"/>
          <w:szCs w:val="20"/>
        </w:rPr>
        <w:alias w:val="ControlVersiones"/>
        <w:tag w:val="ControlVersiones"/>
        <w:id w:val="-91855611"/>
        <w:placeholder>
          <w:docPart w:val="150F3FD8A07C2441BAE55AA86B126774"/>
        </w:placeholder>
        <w:showingPlcHdr/>
        <w15:color w:val="FFFFFF"/>
      </w:sdtPr>
      <w:sdtEndPr>
        <w:rPr>
          <w:rStyle w:val="Estilo1"/>
        </w:rPr>
      </w:sdtEndPr>
      <w:sdtContent>
        <w:p w14:paraId="32730C64" w14:textId="77777777" w:rsidR="00EE4A9A" w:rsidRPr="00490588" w:rsidRDefault="00EE4A9A" w:rsidP="00EE4A9A">
          <w:pPr>
            <w:jc w:val="both"/>
            <w:rPr>
              <w:rStyle w:val="Estilo1"/>
              <w:rFonts w:cs="Arial"/>
              <w:b/>
              <w:color w:val="000000" w:themeColor="text1"/>
              <w:szCs w:val="20"/>
            </w:rPr>
          </w:pPr>
          <w:r>
            <w:rPr>
              <w:rStyle w:val="Estilo1"/>
              <w:b/>
              <w:color w:val="000000" w:themeColor="text1"/>
              <w:sz w:val="22"/>
              <w:szCs w:val="22"/>
            </w:rPr>
            <w:t xml:space="preserve"> </w:t>
          </w:r>
        </w:p>
      </w:sdtContent>
    </w:sdt>
    <w:p w14:paraId="02AF274E" w14:textId="79F1FE7E" w:rsidR="00EE4A9A" w:rsidRPr="00EE4A9A" w:rsidRDefault="00BD1CF7" w:rsidP="00EE4A9A">
      <w:pPr>
        <w:tabs>
          <w:tab w:val="left" w:pos="1680"/>
        </w:tabs>
        <w:rPr>
          <w:rFonts w:ascii="Arial" w:hAnsi="Arial" w:cs="Arial"/>
          <w:b/>
          <w:bCs/>
          <w:sz w:val="20"/>
          <w:szCs w:val="20"/>
        </w:rPr>
      </w:pPr>
      <w:r w:rsidRPr="00EE4A9A">
        <w:rPr>
          <w:rFonts w:ascii="Arial" w:hAnsi="Arial" w:cs="Arial"/>
          <w:b/>
          <w:bCs/>
          <w:sz w:val="20"/>
          <w:szCs w:val="20"/>
        </w:rPr>
        <w:t>Bibliografía</w:t>
      </w:r>
    </w:p>
    <w:p w14:paraId="2CA06E41" w14:textId="6C096182" w:rsidR="00C33E17" w:rsidRDefault="000C025A"/>
    <w:p w14:paraId="4B6F25CB" w14:textId="0021AB56" w:rsidR="00845C43" w:rsidRPr="00845C43" w:rsidRDefault="00845C43" w:rsidP="00845C43">
      <w:pPr>
        <w:pStyle w:val="Prrafodelista"/>
        <w:numPr>
          <w:ilvl w:val="0"/>
          <w:numId w:val="4"/>
        </w:numPr>
        <w:rPr>
          <w:lang w:val="en-US" w:eastAsia="es-ES_tradnl"/>
        </w:rPr>
      </w:pPr>
      <w:r w:rsidRPr="00845C43">
        <w:rPr>
          <w:lang w:val="en-US" w:eastAsia="es-ES_tradnl"/>
        </w:rPr>
        <w:t xml:space="preserve">Bray F, </w:t>
      </w:r>
      <w:proofErr w:type="spellStart"/>
      <w:r w:rsidRPr="00845C43">
        <w:rPr>
          <w:lang w:val="en-US" w:eastAsia="es-ES_tradnl"/>
        </w:rPr>
        <w:t>Ferlay</w:t>
      </w:r>
      <w:proofErr w:type="spellEnd"/>
      <w:r w:rsidRPr="00845C43">
        <w:rPr>
          <w:lang w:val="en-US" w:eastAsia="es-ES_tradnl"/>
        </w:rPr>
        <w:t xml:space="preserve"> J, </w:t>
      </w:r>
      <w:proofErr w:type="spellStart"/>
      <w:r w:rsidRPr="00845C43">
        <w:rPr>
          <w:lang w:val="en-US" w:eastAsia="es-ES_tradnl"/>
        </w:rPr>
        <w:t>Soerjomataram</w:t>
      </w:r>
      <w:proofErr w:type="spellEnd"/>
      <w:r w:rsidRPr="00845C43">
        <w:rPr>
          <w:lang w:val="en-US" w:eastAsia="es-ES_tradnl"/>
        </w:rPr>
        <w:t xml:space="preserve"> I, Siegel RL, Torre LA, Jemal A. Global cancer statistics 2018: </w:t>
      </w:r>
      <w:proofErr w:type="spellStart"/>
      <w:r w:rsidRPr="00845C43">
        <w:rPr>
          <w:lang w:val="en-US" w:eastAsia="es-ES_tradnl"/>
        </w:rPr>
        <w:t>Globocan</w:t>
      </w:r>
      <w:proofErr w:type="spellEnd"/>
      <w:r w:rsidRPr="00845C43">
        <w:rPr>
          <w:lang w:val="en-US" w:eastAsia="es-ES_tradnl"/>
        </w:rPr>
        <w:t xml:space="preserve"> estimates of incidence and mortality worldwide for 36 cancers in 185 countries. CA Cancer J Clin. 2018;68:394– 424.</w:t>
      </w:r>
    </w:p>
    <w:p w14:paraId="245C85AA" w14:textId="77777777" w:rsidR="00845C43" w:rsidRPr="00845C43" w:rsidRDefault="00845C43" w:rsidP="00845C43">
      <w:pPr>
        <w:pStyle w:val="Prrafodelista"/>
        <w:numPr>
          <w:ilvl w:val="0"/>
          <w:numId w:val="4"/>
        </w:numPr>
        <w:rPr>
          <w:lang w:val="es-PY" w:eastAsia="es-ES_tradnl"/>
        </w:rPr>
      </w:pPr>
      <w:r w:rsidRPr="00845C43">
        <w:rPr>
          <w:lang w:val="en-US" w:eastAsia="es-ES_tradnl"/>
        </w:rPr>
        <w:t xml:space="preserve">Duggan DB, </w:t>
      </w:r>
      <w:proofErr w:type="spellStart"/>
      <w:r w:rsidRPr="00845C43">
        <w:rPr>
          <w:lang w:val="en-US" w:eastAsia="es-ES_tradnl"/>
        </w:rPr>
        <w:t>Petroni</w:t>
      </w:r>
      <w:proofErr w:type="spellEnd"/>
      <w:r w:rsidRPr="00845C43">
        <w:rPr>
          <w:lang w:val="en-US" w:eastAsia="es-ES_tradnl"/>
        </w:rPr>
        <w:t xml:space="preserve"> GR, Johnson JL et al. Randomized comparison of ABVD and MOPP/ABV hybrid for the treatment of advanced Hodgkin’s disease: Report of an intergroup trial. </w:t>
      </w:r>
      <w:r w:rsidRPr="00845C43">
        <w:rPr>
          <w:lang w:val="es-PY" w:eastAsia="es-ES_tradnl"/>
        </w:rPr>
        <w:t>J Clin Oncol 2003; 21:607– 614.</w:t>
      </w:r>
    </w:p>
    <w:p w14:paraId="7EEE3EF7" w14:textId="77777777" w:rsidR="00845C43" w:rsidRPr="00845C43" w:rsidRDefault="00845C43" w:rsidP="00845C43">
      <w:pPr>
        <w:pStyle w:val="Prrafodelista"/>
        <w:numPr>
          <w:ilvl w:val="0"/>
          <w:numId w:val="4"/>
        </w:numPr>
        <w:rPr>
          <w:lang w:val="en-US" w:eastAsia="es-ES_tradnl"/>
        </w:rPr>
      </w:pPr>
      <w:proofErr w:type="spellStart"/>
      <w:r w:rsidRPr="00845C43">
        <w:rPr>
          <w:lang w:val="en-US" w:eastAsia="es-ES_tradnl"/>
        </w:rPr>
        <w:lastRenderedPageBreak/>
        <w:t>Shanbhag</w:t>
      </w:r>
      <w:proofErr w:type="spellEnd"/>
      <w:r w:rsidRPr="00845C43">
        <w:rPr>
          <w:lang w:val="en-US" w:eastAsia="es-ES_tradnl"/>
        </w:rPr>
        <w:t xml:space="preserve"> S, </w:t>
      </w:r>
      <w:proofErr w:type="spellStart"/>
      <w:r w:rsidRPr="00845C43">
        <w:rPr>
          <w:lang w:val="en-US" w:eastAsia="es-ES_tradnl"/>
        </w:rPr>
        <w:t>Ambinder</w:t>
      </w:r>
      <w:proofErr w:type="spellEnd"/>
      <w:r w:rsidRPr="00845C43">
        <w:rPr>
          <w:lang w:val="en-US" w:eastAsia="es-ES_tradnl"/>
        </w:rPr>
        <w:t xml:space="preserve"> RF. Hodgkin lymphoma: A review and update on recent progress. CA Cancer J Clin. 2018 Mar;68(2):116-132. </w:t>
      </w:r>
      <w:proofErr w:type="spellStart"/>
      <w:r w:rsidRPr="00845C43">
        <w:rPr>
          <w:lang w:val="en-US" w:eastAsia="es-ES_tradnl"/>
        </w:rPr>
        <w:t>doi</w:t>
      </w:r>
      <w:proofErr w:type="spellEnd"/>
      <w:r w:rsidRPr="00845C43">
        <w:rPr>
          <w:lang w:val="en-US" w:eastAsia="es-ES_tradnl"/>
        </w:rPr>
        <w:t xml:space="preserve">: 10.3322/caac.21438. </w:t>
      </w:r>
      <w:proofErr w:type="spellStart"/>
      <w:r w:rsidRPr="00845C43">
        <w:rPr>
          <w:lang w:val="en-US" w:eastAsia="es-ES_tradnl"/>
        </w:rPr>
        <w:t>Epub</w:t>
      </w:r>
      <w:proofErr w:type="spellEnd"/>
      <w:r w:rsidRPr="00845C43">
        <w:rPr>
          <w:lang w:val="en-US" w:eastAsia="es-ES_tradnl"/>
        </w:rPr>
        <w:t xml:space="preserve"> 2017 Dec 1. PMID: 29194581; PMCID: PMC5842098</w:t>
      </w:r>
    </w:p>
    <w:p w14:paraId="3F2BCE20" w14:textId="77777777" w:rsidR="00845C43" w:rsidRPr="00845C43" w:rsidRDefault="00845C43" w:rsidP="00845C43">
      <w:pPr>
        <w:pStyle w:val="Prrafodelista"/>
        <w:numPr>
          <w:ilvl w:val="0"/>
          <w:numId w:val="4"/>
        </w:numPr>
        <w:rPr>
          <w:lang w:val="en-US" w:eastAsia="es-ES_tradnl"/>
        </w:rPr>
      </w:pPr>
      <w:r w:rsidRPr="00845C43">
        <w:rPr>
          <w:lang w:val="en-US" w:eastAsia="es-ES_tradnl"/>
        </w:rPr>
        <w:t xml:space="preserve">Kuruvilla J. Standard therapy of advanced Hodgkin lymphoma. Hematology Am Soc </w:t>
      </w:r>
      <w:proofErr w:type="spellStart"/>
      <w:r w:rsidRPr="00845C43">
        <w:rPr>
          <w:lang w:val="en-US" w:eastAsia="es-ES_tradnl"/>
        </w:rPr>
        <w:t>Hematol</w:t>
      </w:r>
      <w:proofErr w:type="spellEnd"/>
      <w:r w:rsidRPr="00845C43">
        <w:rPr>
          <w:lang w:val="en-US" w:eastAsia="es-ES_tradnl"/>
        </w:rPr>
        <w:t xml:space="preserve"> Educ Program 2009;497–506</w:t>
      </w:r>
    </w:p>
    <w:p w14:paraId="404C369A" w14:textId="77777777" w:rsidR="00845C43" w:rsidRPr="00845C43" w:rsidRDefault="00845C43" w:rsidP="00845C43">
      <w:pPr>
        <w:pStyle w:val="Prrafodelista"/>
        <w:numPr>
          <w:ilvl w:val="0"/>
          <w:numId w:val="4"/>
        </w:numPr>
        <w:rPr>
          <w:lang w:val="es-PY" w:eastAsia="es-ES_tradnl"/>
        </w:rPr>
      </w:pPr>
      <w:r w:rsidRPr="00845C43">
        <w:rPr>
          <w:lang w:val="es-PY" w:eastAsia="es-ES_tradnl"/>
        </w:rPr>
        <w:t xml:space="preserve">Schmitz N, Pfistner B, Sextro M, et al. </w:t>
      </w:r>
      <w:r w:rsidRPr="00845C43">
        <w:rPr>
          <w:lang w:val="en-US" w:eastAsia="es-ES_tradnl"/>
        </w:rPr>
        <w:t xml:space="preserve">Aggressive conventional chemotherapy compared with high-dose chemotherapy with autologous hemopoietic </w:t>
      </w:r>
      <w:proofErr w:type="spellStart"/>
      <w:r w:rsidRPr="00845C43">
        <w:rPr>
          <w:lang w:val="en-US" w:eastAsia="es-ES_tradnl"/>
        </w:rPr>
        <w:t>stemcell</w:t>
      </w:r>
      <w:proofErr w:type="spellEnd"/>
      <w:r w:rsidRPr="00845C43">
        <w:rPr>
          <w:lang w:val="en-US" w:eastAsia="es-ES_tradnl"/>
        </w:rPr>
        <w:t xml:space="preserve"> transplantation for relapsed </w:t>
      </w:r>
      <w:proofErr w:type="spellStart"/>
      <w:r w:rsidRPr="00845C43">
        <w:rPr>
          <w:lang w:val="en-US" w:eastAsia="es-ES_tradnl"/>
        </w:rPr>
        <w:t>chemosensitive</w:t>
      </w:r>
      <w:proofErr w:type="spellEnd"/>
      <w:r w:rsidRPr="00845C43">
        <w:rPr>
          <w:lang w:val="en-US" w:eastAsia="es-ES_tradnl"/>
        </w:rPr>
        <w:t xml:space="preserve"> Hodgkin’s disease: a </w:t>
      </w:r>
      <w:proofErr w:type="spellStart"/>
      <w:r w:rsidRPr="00845C43">
        <w:rPr>
          <w:lang w:val="en-US" w:eastAsia="es-ES_tradnl"/>
        </w:rPr>
        <w:t>randomised</w:t>
      </w:r>
      <w:proofErr w:type="spellEnd"/>
      <w:r w:rsidRPr="00845C43">
        <w:rPr>
          <w:lang w:val="en-US" w:eastAsia="es-ES_tradnl"/>
        </w:rPr>
        <w:t xml:space="preserve"> trial. </w:t>
      </w:r>
      <w:r w:rsidRPr="00845C43">
        <w:rPr>
          <w:lang w:val="es-PY" w:eastAsia="es-ES_tradnl"/>
        </w:rPr>
        <w:t>Lancet. 2002;359:2065–2071.</w:t>
      </w:r>
    </w:p>
    <w:p w14:paraId="26C01F2F" w14:textId="77777777" w:rsidR="00845C43" w:rsidRPr="00845C43" w:rsidRDefault="00845C43" w:rsidP="00845C43">
      <w:pPr>
        <w:pStyle w:val="Prrafodelista"/>
        <w:numPr>
          <w:ilvl w:val="0"/>
          <w:numId w:val="4"/>
        </w:numPr>
        <w:rPr>
          <w:lang w:val="es-PY" w:eastAsia="es-ES_tradnl"/>
        </w:rPr>
      </w:pPr>
      <w:r w:rsidRPr="00845C43">
        <w:rPr>
          <w:lang w:val="es-PY" w:eastAsia="es-ES_tradnl"/>
        </w:rPr>
        <w:t xml:space="preserve">Vassilakopoulos TP, Asimakopoulos JV, Konstantopoulos K, Angelopoulou MK. </w:t>
      </w:r>
      <w:r w:rsidRPr="00845C43">
        <w:rPr>
          <w:lang w:val="en-US" w:eastAsia="es-ES_tradnl"/>
        </w:rPr>
        <w:t xml:space="preserve">Optimizing outcomes in relapsed/refractory Hodgkin lymphoma: a review of current and forthcoming therapeutic strategies. </w:t>
      </w:r>
      <w:r w:rsidRPr="00845C43">
        <w:rPr>
          <w:lang w:val="es-PY" w:eastAsia="es-ES_tradnl"/>
        </w:rPr>
        <w:t>Ther Adv Hematol. 2020 Feb 16;11:2040620720902911. doi: 10.1177/2040620720902911. PMID: 32110285; PMCID: PMC7026824</w:t>
      </w:r>
    </w:p>
    <w:p w14:paraId="3222E7C1" w14:textId="77777777" w:rsidR="00845C43" w:rsidRPr="00845C43" w:rsidRDefault="00845C43" w:rsidP="00845C43">
      <w:pPr>
        <w:pStyle w:val="Prrafodelista"/>
        <w:rPr>
          <w:lang w:val="en-US" w:eastAsia="es-ES_tradnl"/>
        </w:rPr>
      </w:pPr>
    </w:p>
    <w:p w14:paraId="3EEEA865" w14:textId="64BF0162" w:rsidR="00845C43" w:rsidRPr="00845C43" w:rsidRDefault="00845C43">
      <w:pPr>
        <w:rPr>
          <w:lang w:val="en-US"/>
        </w:rPr>
      </w:pPr>
    </w:p>
    <w:p w14:paraId="0EA4EC83" w14:textId="77777777" w:rsidR="00845C43" w:rsidRPr="00845C43" w:rsidRDefault="00845C43">
      <w:pPr>
        <w:rPr>
          <w:lang w:val="en-US"/>
        </w:rPr>
      </w:pPr>
    </w:p>
    <w:sectPr w:rsidR="00845C43" w:rsidRPr="00845C43" w:rsidSect="00EE4A9A">
      <w:pgSz w:w="12242" w:h="15842" w:code="1"/>
      <w:pgMar w:top="1134" w:right="1134"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22A27" w14:textId="77777777" w:rsidR="000C025A" w:rsidRDefault="000C025A" w:rsidP="00EE4A9A">
      <w:r>
        <w:separator/>
      </w:r>
    </w:p>
  </w:endnote>
  <w:endnote w:type="continuationSeparator" w:id="0">
    <w:p w14:paraId="64BF5FF0" w14:textId="77777777" w:rsidR="000C025A" w:rsidRDefault="000C025A" w:rsidP="00EE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42807" w14:textId="77777777" w:rsidR="000C025A" w:rsidRDefault="000C025A" w:rsidP="00EE4A9A">
      <w:r>
        <w:separator/>
      </w:r>
    </w:p>
  </w:footnote>
  <w:footnote w:type="continuationSeparator" w:id="0">
    <w:p w14:paraId="61FCF0EB" w14:textId="77777777" w:rsidR="000C025A" w:rsidRDefault="000C025A" w:rsidP="00EE4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E26B8"/>
    <w:multiLevelType w:val="hybridMultilevel"/>
    <w:tmpl w:val="2D7C3EE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E53CBA"/>
    <w:multiLevelType w:val="hybridMultilevel"/>
    <w:tmpl w:val="2584A7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08D7FAB"/>
    <w:multiLevelType w:val="hybridMultilevel"/>
    <w:tmpl w:val="0F7AFA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6B64B57"/>
    <w:multiLevelType w:val="hybridMultilevel"/>
    <w:tmpl w:val="E660AF9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9A"/>
    <w:rsid w:val="000C025A"/>
    <w:rsid w:val="000F7ADE"/>
    <w:rsid w:val="0022744A"/>
    <w:rsid w:val="00283F45"/>
    <w:rsid w:val="00721DA5"/>
    <w:rsid w:val="00786AE0"/>
    <w:rsid w:val="00840BF5"/>
    <w:rsid w:val="00844C91"/>
    <w:rsid w:val="00845C43"/>
    <w:rsid w:val="00BD1CF7"/>
    <w:rsid w:val="00EE4A9A"/>
    <w:rsid w:val="00F67328"/>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36E6"/>
  <w15:chartTrackingRefBased/>
  <w15:docId w15:val="{DD854258-2043-0E4F-AEF0-28919A08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P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A9A"/>
    <w:rPr>
      <w:rFonts w:ascii="Times New Roman" w:eastAsia="Times New Roman" w:hAnsi="Times New Roman" w:cs="Times New Roman"/>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E4A9A"/>
    <w:pPr>
      <w:tabs>
        <w:tab w:val="center" w:pos="4252"/>
        <w:tab w:val="right" w:pos="8504"/>
      </w:tabs>
    </w:pPr>
  </w:style>
  <w:style w:type="character" w:customStyle="1" w:styleId="EncabezadoCar">
    <w:name w:val="Encabezado Car"/>
    <w:basedOn w:val="Fuentedeprrafopredeter"/>
    <w:link w:val="Encabezado"/>
    <w:uiPriority w:val="99"/>
    <w:rsid w:val="00EE4A9A"/>
    <w:rPr>
      <w:rFonts w:ascii="Times New Roman" w:eastAsia="Times New Roman" w:hAnsi="Times New Roman" w:cs="Times New Roman"/>
      <w:lang w:val="es-CO" w:eastAsia="es-ES"/>
    </w:rPr>
  </w:style>
  <w:style w:type="character" w:styleId="Nmerodepgina">
    <w:name w:val="page number"/>
    <w:basedOn w:val="Fuentedeprrafopredeter"/>
    <w:rsid w:val="00EE4A9A"/>
  </w:style>
  <w:style w:type="paragraph" w:styleId="Prrafodelista">
    <w:name w:val="List Paragraph"/>
    <w:basedOn w:val="Normal"/>
    <w:uiPriority w:val="34"/>
    <w:qFormat/>
    <w:rsid w:val="00EE4A9A"/>
    <w:pPr>
      <w:ind w:left="720"/>
    </w:pPr>
    <w:rPr>
      <w:rFonts w:ascii="Calibri" w:eastAsia="Calibri" w:hAnsi="Calibri"/>
      <w:sz w:val="22"/>
      <w:szCs w:val="22"/>
      <w:lang w:eastAsia="en-US"/>
    </w:rPr>
  </w:style>
  <w:style w:type="paragraph" w:styleId="NormalWeb">
    <w:name w:val="Normal (Web)"/>
    <w:basedOn w:val="Normal"/>
    <w:uiPriority w:val="99"/>
    <w:unhideWhenUsed/>
    <w:rsid w:val="00EE4A9A"/>
    <w:pPr>
      <w:spacing w:before="100" w:beforeAutospacing="1" w:after="100" w:afterAutospacing="1"/>
    </w:pPr>
    <w:rPr>
      <w:lang w:val="es-419" w:eastAsia="es-419"/>
    </w:rPr>
  </w:style>
  <w:style w:type="character" w:customStyle="1" w:styleId="Estilo1">
    <w:name w:val="Estilo1"/>
    <w:basedOn w:val="Fuentedeprrafopredeter"/>
    <w:uiPriority w:val="1"/>
    <w:qFormat/>
    <w:rsid w:val="00EE4A9A"/>
    <w:rPr>
      <w:rFonts w:ascii="Arial" w:hAnsi="Arial"/>
      <w:sz w:val="20"/>
    </w:rPr>
  </w:style>
  <w:style w:type="paragraph" w:customStyle="1" w:styleId="Default">
    <w:name w:val="Default"/>
    <w:rsid w:val="00EE4A9A"/>
    <w:pPr>
      <w:autoSpaceDE w:val="0"/>
      <w:autoSpaceDN w:val="0"/>
      <w:adjustRightInd w:val="0"/>
    </w:pPr>
    <w:rPr>
      <w:rFonts w:ascii="Arial" w:eastAsia="Times New Roman" w:hAnsi="Arial" w:cs="Arial"/>
      <w:color w:val="000000"/>
      <w:lang w:val="es-ES" w:eastAsia="es-ES"/>
    </w:rPr>
  </w:style>
  <w:style w:type="paragraph" w:styleId="Piedepgina">
    <w:name w:val="footer"/>
    <w:basedOn w:val="Normal"/>
    <w:link w:val="PiedepginaCar"/>
    <w:uiPriority w:val="99"/>
    <w:unhideWhenUsed/>
    <w:rsid w:val="00EE4A9A"/>
    <w:pPr>
      <w:tabs>
        <w:tab w:val="center" w:pos="4419"/>
        <w:tab w:val="right" w:pos="8838"/>
      </w:tabs>
    </w:pPr>
  </w:style>
  <w:style w:type="character" w:customStyle="1" w:styleId="PiedepginaCar">
    <w:name w:val="Pie de página Car"/>
    <w:basedOn w:val="Fuentedeprrafopredeter"/>
    <w:link w:val="Piedepgina"/>
    <w:uiPriority w:val="99"/>
    <w:rsid w:val="00EE4A9A"/>
    <w:rPr>
      <w:rFonts w:ascii="Times New Roman" w:eastAsia="Times New Roman" w:hAnsi="Times New Roman" w:cs="Times New Roman"/>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50681">
      <w:bodyDiv w:val="1"/>
      <w:marLeft w:val="0"/>
      <w:marRight w:val="0"/>
      <w:marTop w:val="0"/>
      <w:marBottom w:val="0"/>
      <w:divBdr>
        <w:top w:val="none" w:sz="0" w:space="0" w:color="auto"/>
        <w:left w:val="none" w:sz="0" w:space="0" w:color="auto"/>
        <w:bottom w:val="none" w:sz="0" w:space="0" w:color="auto"/>
        <w:right w:val="none" w:sz="0" w:space="0" w:color="auto"/>
      </w:divBdr>
    </w:div>
    <w:div w:id="759178754">
      <w:bodyDiv w:val="1"/>
      <w:marLeft w:val="0"/>
      <w:marRight w:val="0"/>
      <w:marTop w:val="0"/>
      <w:marBottom w:val="0"/>
      <w:divBdr>
        <w:top w:val="none" w:sz="0" w:space="0" w:color="auto"/>
        <w:left w:val="none" w:sz="0" w:space="0" w:color="auto"/>
        <w:bottom w:val="none" w:sz="0" w:space="0" w:color="auto"/>
        <w:right w:val="none" w:sz="0" w:space="0" w:color="auto"/>
      </w:divBdr>
    </w:div>
    <w:div w:id="815099485">
      <w:bodyDiv w:val="1"/>
      <w:marLeft w:val="0"/>
      <w:marRight w:val="0"/>
      <w:marTop w:val="0"/>
      <w:marBottom w:val="0"/>
      <w:divBdr>
        <w:top w:val="none" w:sz="0" w:space="0" w:color="auto"/>
        <w:left w:val="none" w:sz="0" w:space="0" w:color="auto"/>
        <w:bottom w:val="none" w:sz="0" w:space="0" w:color="auto"/>
        <w:right w:val="none" w:sz="0" w:space="0" w:color="auto"/>
      </w:divBdr>
    </w:div>
    <w:div w:id="968172848">
      <w:bodyDiv w:val="1"/>
      <w:marLeft w:val="0"/>
      <w:marRight w:val="0"/>
      <w:marTop w:val="0"/>
      <w:marBottom w:val="0"/>
      <w:divBdr>
        <w:top w:val="none" w:sz="0" w:space="0" w:color="auto"/>
        <w:left w:val="none" w:sz="0" w:space="0" w:color="auto"/>
        <w:bottom w:val="none" w:sz="0" w:space="0" w:color="auto"/>
        <w:right w:val="none" w:sz="0" w:space="0" w:color="auto"/>
      </w:divBdr>
    </w:div>
    <w:div w:id="1765688756">
      <w:bodyDiv w:val="1"/>
      <w:marLeft w:val="0"/>
      <w:marRight w:val="0"/>
      <w:marTop w:val="0"/>
      <w:marBottom w:val="0"/>
      <w:divBdr>
        <w:top w:val="none" w:sz="0" w:space="0" w:color="auto"/>
        <w:left w:val="none" w:sz="0" w:space="0" w:color="auto"/>
        <w:bottom w:val="none" w:sz="0" w:space="0" w:color="auto"/>
        <w:right w:val="none" w:sz="0" w:space="0" w:color="auto"/>
      </w:divBdr>
    </w:div>
    <w:div w:id="17933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0F3FD8A07C2441BAE55AA86B126774"/>
        <w:category>
          <w:name w:val="General"/>
          <w:gallery w:val="placeholder"/>
        </w:category>
        <w:types>
          <w:type w:val="bbPlcHdr"/>
        </w:types>
        <w:behaviors>
          <w:behavior w:val="content"/>
        </w:behaviors>
        <w:guid w:val="{67D91232-0B91-7B4B-80AA-1C4F079354B0}"/>
      </w:docPartPr>
      <w:docPartBody>
        <w:p w:rsidR="004C5052" w:rsidRDefault="00AF41A3" w:rsidP="00AF41A3">
          <w:pPr>
            <w:pStyle w:val="150F3FD8A07C2441BAE55AA86B126774"/>
          </w:pPr>
          <w:r>
            <w:rPr>
              <w:rStyle w:val="Estilo1"/>
              <w:b/>
              <w:color w:val="000000" w:themeColor="text1"/>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A3"/>
    <w:rsid w:val="002E7B74"/>
    <w:rsid w:val="003806AA"/>
    <w:rsid w:val="004C5052"/>
    <w:rsid w:val="00AF41A3"/>
    <w:rsid w:val="00D004A6"/>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PY"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stilo1">
    <w:name w:val="Estilo1"/>
    <w:basedOn w:val="Fuentedeprrafopredeter"/>
    <w:uiPriority w:val="1"/>
    <w:qFormat/>
    <w:rsid w:val="00AF41A3"/>
    <w:rPr>
      <w:rFonts w:ascii="Arial" w:hAnsi="Arial"/>
      <w:sz w:val="20"/>
    </w:rPr>
  </w:style>
  <w:style w:type="paragraph" w:customStyle="1" w:styleId="150F3FD8A07C2441BAE55AA86B126774">
    <w:name w:val="150F3FD8A07C2441BAE55AA86B126774"/>
    <w:rsid w:val="00AF4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1548</Words>
  <Characters>8518</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von Glasenapp</dc:creator>
  <cp:keywords/>
  <dc:description/>
  <cp:lastModifiedBy>Alana von Glasenapp</cp:lastModifiedBy>
  <cp:revision>2</cp:revision>
  <dcterms:created xsi:type="dcterms:W3CDTF">2022-05-25T20:01:00Z</dcterms:created>
  <dcterms:modified xsi:type="dcterms:W3CDTF">2022-05-25T20:01:00Z</dcterms:modified>
</cp:coreProperties>
</file>